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2104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50:24:0030407:446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город Ликино-Дулево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2104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50:24:0030407:446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город Ликино-Дулево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