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8E209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2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09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73692F1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E2098"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8E209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E2098">
        <w:rPr>
          <w:sz w:val="24"/>
          <w:szCs w:val="24"/>
        </w:rPr>
        <w:t xml:space="preserve">784 </w:t>
      </w:r>
      <w:r w:rsidR="00614292" w:rsidRPr="00406E0F">
        <w:rPr>
          <w:sz w:val="24"/>
          <w:szCs w:val="24"/>
        </w:rPr>
        <w:t>кв</w:t>
      </w:r>
      <w:r w:rsidR="00614292" w:rsidRPr="008E209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E209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E20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E20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E2098">
        <w:rPr>
          <w:sz w:val="24"/>
          <w:szCs w:val="24"/>
        </w:rPr>
        <w:t xml:space="preserve"> 50:31:0040119:1421, </w:t>
      </w:r>
      <w:r w:rsidR="00614292" w:rsidRPr="00406E0F">
        <w:rPr>
          <w:sz w:val="24"/>
          <w:szCs w:val="24"/>
        </w:rPr>
        <w:t>категория</w:t>
      </w:r>
      <w:r w:rsidR="00614292" w:rsidRPr="008E20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E209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E20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E20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E2098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8E20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E20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E2098">
        <w:rPr>
          <w:sz w:val="24"/>
          <w:szCs w:val="24"/>
        </w:rPr>
        <w:t xml:space="preserve">: Московская область, г Чехов, </w:t>
      </w:r>
      <w:proofErr w:type="spellStart"/>
      <w:r w:rsidR="00614292" w:rsidRPr="008E2098">
        <w:rPr>
          <w:sz w:val="24"/>
          <w:szCs w:val="24"/>
        </w:rPr>
        <w:t>ул</w:t>
      </w:r>
      <w:proofErr w:type="spellEnd"/>
      <w:r w:rsidR="00614292" w:rsidRPr="008E2098">
        <w:rPr>
          <w:sz w:val="24"/>
          <w:szCs w:val="24"/>
        </w:rPr>
        <w:t xml:space="preserve"> Платонова, городской округ Чехов.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119D80C5" w14:textId="77777777" w:rsidR="008E2098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Москва (Волосово);</w:t>
      </w:r>
    </w:p>
    <w:p w14:paraId="4AD6DBDD" w14:textId="77777777" w:rsidR="008E2098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расположен в охранной зоне ВЛ-6 кВ ф.Чепелево с ЦРП-2;</w:t>
      </w:r>
    </w:p>
    <w:p w14:paraId="454A17AA" w14:textId="77777777" w:rsidR="008E2098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на земельном участке расположена воздушная ЛЭП.</w:t>
      </w:r>
    </w:p>
    <w:p w14:paraId="411D5651" w14:textId="467AA8E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 сведениям Единого государственного реестра недвижимости, в отношении земельного участка с кадастровым номером 50:31:0040119:1421 установлены ограничения прав, предусмотренные статьей 56 Земельного кодекса Российской Федерации, срок данного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</w:t>
      </w:r>
      <w:r w:rsidRPr="00406E0F">
        <w:lastRenderedPageBreak/>
        <w:t>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286D5D2E" w14:textId="3BCA17C3" w:rsidR="008E2098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Воздушного кодекса Российской Федерации, Федерального закона</w:t>
      </w:r>
      <w:r w:rsidRPr="00406E0F">
        <w:rPr>
          <w:noProof/>
        </w:rPr>
        <w:br/>
        <w:t>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</w:t>
      </w:r>
      <w:r w:rsidR="008E2098">
        <w:rPr>
          <w:noProof/>
        </w:rPr>
        <w:t xml:space="preserve"> </w:t>
      </w:r>
      <w:r w:rsidRPr="00406E0F">
        <w:rPr>
          <w:noProof/>
        </w:rPr>
        <w:t>и санитарно-защитной зоны»;</w:t>
      </w:r>
    </w:p>
    <w:p w14:paraId="4791CE7E" w14:textId="434E2850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- постановления Правительства Российской Федерации </w:t>
      </w:r>
      <w:r w:rsidRPr="00406E0F">
        <w:rPr>
          <w:noProof/>
        </w:rPr>
        <w:br/>
        <w:t xml:space="preserve">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 w:rsidRPr="00406E0F">
        <w:rPr>
          <w:noProof/>
        </w:rPr>
        <w:lastRenderedPageBreak/>
        <w:t>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</w:t>
      </w:r>
      <w:r w:rsidRPr="00406E0F">
        <w:lastRenderedPageBreak/>
        <w:t>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</w:t>
      </w:r>
      <w:r w:rsidRPr="001D1B46">
        <w:lastRenderedPageBreak/>
        <w:t>регистрация обеспечивается силами Арендатора (для договоров, заключенных на срок более 1 года).</w:t>
      </w:r>
    </w:p>
    <w:p w14:paraId="335FC2B5" w14:textId="52FE5973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E209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E20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E209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2098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59D09A55" w:rsidR="009125F7" w:rsidRPr="00406E0F" w:rsidRDefault="008E2098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784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E209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BE17B33" w:rsidR="009125F7" w:rsidRPr="00406E0F" w:rsidRDefault="008E2098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133CAC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E209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4CF841FE" w:rsidR="00C60148" w:rsidRPr="00406E0F" w:rsidRDefault="008E209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9108" w14:textId="77777777" w:rsidR="00360D21" w:rsidRDefault="00360D21" w:rsidP="00195C19">
      <w:r>
        <w:separator/>
      </w:r>
    </w:p>
  </w:endnote>
  <w:endnote w:type="continuationSeparator" w:id="0">
    <w:p w14:paraId="07A7322B" w14:textId="77777777" w:rsidR="00360D21" w:rsidRDefault="00360D2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CB2F" w14:textId="77777777" w:rsidR="00360D21" w:rsidRDefault="00360D21" w:rsidP="00195C19">
      <w:r>
        <w:separator/>
      </w:r>
    </w:p>
  </w:footnote>
  <w:footnote w:type="continuationSeparator" w:id="0">
    <w:p w14:paraId="366F2415" w14:textId="77777777" w:rsidR="00360D21" w:rsidRDefault="00360D2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0D21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2098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 Юрьевна Пашнина</cp:lastModifiedBy>
  <cp:revision>2</cp:revision>
  <cp:lastPrinted>2022-02-16T11:57:00Z</cp:lastPrinted>
  <dcterms:created xsi:type="dcterms:W3CDTF">2024-02-19T12:26:00Z</dcterms:created>
  <dcterms:modified xsi:type="dcterms:W3CDTF">2024-02-19T12:26:00Z</dcterms:modified>
</cp:coreProperties>
</file>