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22AF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AF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22AF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22AF6">
        <w:rPr>
          <w:noProof/>
          <w:sz w:val="24"/>
          <w:szCs w:val="24"/>
        </w:rPr>
        <w:t>1499</w:t>
      </w:r>
      <w:r w:rsidR="00102979"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22AF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22AF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22AF6">
        <w:rPr>
          <w:sz w:val="24"/>
          <w:szCs w:val="24"/>
        </w:rPr>
        <w:t xml:space="preserve"> </w:t>
      </w:r>
      <w:r w:rsidR="001964A6" w:rsidRPr="00A22AF6">
        <w:rPr>
          <w:noProof/>
          <w:sz w:val="24"/>
          <w:szCs w:val="24"/>
        </w:rPr>
        <w:t>50:19:0040118:495</w:t>
      </w:r>
      <w:r w:rsidRPr="00A22AF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22AF6">
        <w:rPr>
          <w:sz w:val="24"/>
          <w:szCs w:val="24"/>
        </w:rPr>
        <w:t xml:space="preserve"> – «</w:t>
      </w:r>
      <w:r w:rsidR="00597746" w:rsidRPr="00A22AF6">
        <w:rPr>
          <w:noProof/>
          <w:sz w:val="24"/>
          <w:szCs w:val="24"/>
        </w:rPr>
        <w:t>Земли населенных пунктов</w:t>
      </w:r>
      <w:r w:rsidRPr="00A22AF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22AF6">
        <w:rPr>
          <w:sz w:val="24"/>
          <w:szCs w:val="24"/>
        </w:rPr>
        <w:t xml:space="preserve"> – «</w:t>
      </w:r>
      <w:r w:rsidR="003E59E1" w:rsidRPr="00A22AF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22AF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22AF6">
        <w:rPr>
          <w:sz w:val="24"/>
          <w:szCs w:val="24"/>
        </w:rPr>
        <w:t xml:space="preserve">: </w:t>
      </w:r>
      <w:r w:rsidR="00D1191C" w:rsidRPr="00A22AF6">
        <w:rPr>
          <w:noProof/>
          <w:sz w:val="24"/>
          <w:szCs w:val="24"/>
        </w:rPr>
        <w:t>Российская Федерация, Московская область, Рузский городской округ, деревня Рыбушкино</w:t>
      </w:r>
      <w:r w:rsidR="00472CAA" w:rsidRPr="00A22AF6">
        <w:rPr>
          <w:sz w:val="24"/>
          <w:szCs w:val="24"/>
        </w:rPr>
        <w:t xml:space="preserve"> </w:t>
      </w:r>
      <w:r w:rsidRPr="00A22AF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22AF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22AF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22AF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реки Руза, полностью расположен: в зоне затопления в отношении территорий Рузского г.о. Московской области, прилегающих к р. Руза, затапливаемых при половодьях и паводках однопроцентной обеспеченности (повторяемость один раз в 100 лет); в зоне сильного подтопления в отношении территорий Рузского г.о. Московской области, прилегающих к зоне затопления р. Руза при глубине залегания грунтовых вод менее 0,3 м; в зоне слабого подтопления в отношении территорий Рузского г.о. Московской области, прилегающих к зоне затопления р. Руза при глубине залегания грунтовых вод от 2,0-3,0 м; в зоне умеренного подтопления в отношении территорий Рузского г.о. Московской области, прилегающих к зоне затопления р. Руза при глубине залегания грунтовых вод от 0,3-0,7 м до 1,2-2,0 м от поверхности, расположен в зоне с особыми условиями использования территории в соответствии с распорядительными документами (**). Ограничение прав на земельный участок, предусмотренное ст. 56 Земельного Кодекса РФ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решения Исполкома Моссовета и Мособлисполкома от 17.04.1980 № 500-1143; Постановления Правительства Москвы и Правительства МО от 17.12.2019 № 1705-ПП/970/44 (ред. от 30.11.2021),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22AF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22A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22AF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22AF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РУЗСКОГО ГОРОДСКОГО ОКРУГА МОСКОВСКОЙ ОБЛАСТИ</w:t>
            </w:r>
          </w:p>
          <w:p w14:paraId="319F2B6E" w14:textId="313631C7" w:rsidR="00FB52C4" w:rsidRPr="00A22AF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2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2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22A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22AF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AF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A2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22AF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22A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2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22AF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0C170D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22AF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07F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2AF6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3283</Words>
  <Characters>18714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2024-12-12T14:47:00Z</dcterms:created>
  <dcterms:modified xsi:type="dcterms:W3CDTF">2024-12-12T14:47:00Z</dcterms:modified>
</cp:coreProperties>
</file>