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BB" w:rsidRDefault="00D671BB" w:rsidP="00D671BB">
      <w:pPr>
        <w:jc w:val="center"/>
        <w:rPr>
          <w:b/>
        </w:rPr>
      </w:pPr>
      <w:bookmarkStart w:id="0" w:name="_Toc470009565"/>
    </w:p>
    <w:p w:rsidR="00D671BB" w:rsidRDefault="00D671BB" w:rsidP="00D671BB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</w:rPr>
        <w:t xml:space="preserve"> </w:t>
      </w:r>
      <w:r>
        <w:rPr>
          <w:b/>
        </w:rPr>
        <w:t xml:space="preserve">ЗАЯВКИ </w:t>
      </w:r>
      <w:r>
        <w:rPr>
          <w:b/>
          <w:sz w:val="22"/>
          <w:szCs w:val="22"/>
        </w:rPr>
        <w:t>НА УЧАСТИЕ В АУКЦИОНЕ В ЭЛЕКТРОННОЙ ФОРМЕ</w:t>
      </w:r>
    </w:p>
    <w:p w:rsidR="00D671BB" w:rsidRDefault="00D671BB" w:rsidP="00D671BB">
      <w:pPr>
        <w:rPr>
          <w:b/>
          <w:sz w:val="8"/>
          <w:szCs w:val="19"/>
        </w:rPr>
      </w:pPr>
    </w:p>
    <w:p w:rsidR="00D671BB" w:rsidRDefault="00D671BB" w:rsidP="00D671BB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  <w:bookmarkStart w:id="1" w:name="OLE_LINK5"/>
      <w:bookmarkStart w:id="2" w:name="OLE_LINK6"/>
    </w:p>
    <w:bookmarkEnd w:id="1"/>
    <w:bookmarkEnd w:id="2"/>
    <w:p w:rsidR="00D671BB" w:rsidRDefault="00D671BB" w:rsidP="00D671BB">
      <w:pPr>
        <w:pBdr>
          <w:bottom w:val="single" w:sz="4" w:space="1" w:color="auto"/>
        </w:pBdr>
        <w:rPr>
          <w:b/>
          <w:sz w:val="19"/>
          <w:szCs w:val="19"/>
        </w:rPr>
      </w:pPr>
      <w:r>
        <w:rPr>
          <w:b/>
          <w:sz w:val="19"/>
          <w:szCs w:val="19"/>
        </w:rPr>
        <w:t>Заявитель</w:t>
      </w:r>
    </w:p>
    <w:p w:rsidR="00D671BB" w:rsidRDefault="00D671BB" w:rsidP="00D671BB">
      <w:pPr>
        <w:pBdr>
          <w:bottom w:val="single" w:sz="4" w:space="1" w:color="auto"/>
        </w:pBdr>
        <w:jc w:val="center"/>
        <w:rPr>
          <w:sz w:val="4"/>
          <w:szCs w:val="18"/>
        </w:rPr>
      </w:pPr>
      <w:r>
        <w:rPr>
          <w:sz w:val="6"/>
          <w:szCs w:val="19"/>
        </w:rPr>
        <w:t xml:space="preserve"> </w:t>
      </w:r>
      <w:r>
        <w:rPr>
          <w:sz w:val="4"/>
          <w:szCs w:val="18"/>
        </w:rPr>
        <w:fldChar w:fldCharType="begin"/>
      </w:r>
      <w:r>
        <w:rPr>
          <w:sz w:val="4"/>
          <w:szCs w:val="18"/>
        </w:rPr>
        <w:instrText xml:space="preserve"> PretendentName </w:instrText>
      </w:r>
      <w:r>
        <w:rPr>
          <w:sz w:val="4"/>
          <w:szCs w:val="18"/>
        </w:rPr>
        <w:fldChar w:fldCharType="separate"/>
      </w:r>
      <w:r>
        <w:rPr>
          <w:b/>
          <w:bCs/>
          <w:sz w:val="4"/>
          <w:szCs w:val="18"/>
        </w:rPr>
        <w:t xml:space="preserve">                                               </w:t>
      </w:r>
      <w:r>
        <w:rPr>
          <w:sz w:val="4"/>
          <w:szCs w:val="18"/>
        </w:rPr>
        <w:fldChar w:fldCharType="end"/>
      </w:r>
    </w:p>
    <w:p w:rsidR="00D671BB" w:rsidRDefault="00D671BB" w:rsidP="00D671B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D671BB" w:rsidRDefault="00D671BB" w:rsidP="00D671BB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bCs/>
          <w:sz w:val="19"/>
          <w:szCs w:val="19"/>
        </w:rPr>
        <w:t xml:space="preserve">  в лице   </w:t>
      </w:r>
      <w:r>
        <w:rPr>
          <w:b/>
          <w:bCs/>
          <w:sz w:val="19"/>
          <w:szCs w:val="19"/>
        </w:rPr>
        <w:tab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sz w:val="16"/>
          <w:szCs w:val="16"/>
        </w:rPr>
        <w:instrText>DirectorName</w:instrText>
      </w:r>
      <w:r>
        <w:rPr>
          <w:sz w:val="18"/>
          <w:szCs w:val="18"/>
        </w:rPr>
        <w:instrText xml:space="preserve"> </w:instrText>
      </w:r>
      <w:r>
        <w:rPr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fldChar w:fldCharType="end"/>
      </w:r>
    </w:p>
    <w:p w:rsidR="00D671BB" w:rsidRDefault="00D671BB" w:rsidP="00D671BB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</w:t>
      </w:r>
      <w:r>
        <w:rPr>
          <w:sz w:val="16"/>
          <w:szCs w:val="18"/>
        </w:rPr>
        <w:t>)</w:t>
      </w:r>
    </w:p>
    <w:p w:rsidR="00D671BB" w:rsidRDefault="00D671BB" w:rsidP="00D671BB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3"/>
          <w:b/>
          <w:bCs/>
          <w:sz w:val="18"/>
          <w:szCs w:val="18"/>
        </w:rPr>
        <w:footnoteReference w:id="1"/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fldChar w:fldCharType="begin"/>
      </w:r>
      <w:r>
        <w:rPr>
          <w:bCs/>
          <w:sz w:val="19"/>
          <w:szCs w:val="19"/>
        </w:rPr>
        <w:instrText xml:space="preserve"> ActingBasis </w:instrText>
      </w:r>
      <w:r>
        <w:rPr>
          <w:bCs/>
          <w:sz w:val="19"/>
          <w:szCs w:val="19"/>
        </w:rPr>
        <w:fldChar w:fldCharType="separate"/>
      </w:r>
      <w:r>
        <w:rPr>
          <w:b/>
          <w:sz w:val="19"/>
          <w:szCs w:val="19"/>
        </w:rPr>
        <w:t xml:space="preserve">                                               </w:t>
      </w:r>
      <w:r>
        <w:rPr>
          <w:bCs/>
          <w:sz w:val="19"/>
          <w:szCs w:val="19"/>
        </w:rPr>
        <w:fldChar w:fldCharType="end"/>
      </w:r>
    </w:p>
    <w:p w:rsidR="00D671BB" w:rsidRDefault="00D671BB" w:rsidP="00D671BB">
      <w:pPr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</w:rPr>
        <w:t>.)</w:t>
      </w:r>
    </w:p>
    <w:p w:rsidR="00D671BB" w:rsidRDefault="00D671BB" w:rsidP="00D671BB">
      <w:pPr>
        <w:jc w:val="center"/>
        <w:rPr>
          <w:sz w:val="18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D671BB" w:rsidTr="00D862F3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, дата выдачи «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» 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…....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r w:rsidR="004407DD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 xml:space="preserve"> 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D671BB" w:rsidTr="00D862F3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671BB" w:rsidRDefault="00D671BB" w:rsidP="00D86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3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……№ 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, дата выдачи «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» ……...………………...…..........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</w:t>
            </w:r>
            <w:r w:rsidR="004407DD">
              <w:rPr>
                <w:sz w:val="18"/>
                <w:szCs w:val="18"/>
              </w:rPr>
              <w:t xml:space="preserve"> ...</w:t>
            </w:r>
            <w:r>
              <w:rPr>
                <w:sz w:val="18"/>
                <w:szCs w:val="18"/>
              </w:rPr>
              <w:t>…………………………………………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</w:t>
            </w:r>
            <w:r w:rsidR="004407DD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………………………………………...................</w:t>
            </w:r>
          </w:p>
          <w:p w:rsidR="00D671BB" w:rsidRDefault="004407DD" w:rsidP="00D862F3">
            <w:pPr>
              <w:rPr>
                <w:sz w:val="18"/>
                <w:szCs w:val="18"/>
              </w:rPr>
            </w:pPr>
            <w:bookmarkStart w:id="3" w:name="_GoBack"/>
            <w:bookmarkEnd w:id="3"/>
            <w:r>
              <w:rPr>
                <w:sz w:val="18"/>
                <w:szCs w:val="18"/>
              </w:rPr>
              <w:t>Адрес…</w:t>
            </w:r>
            <w:r w:rsidR="00D671BB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D671BB" w:rsidRDefault="00D671BB" w:rsidP="00D8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D671BB" w:rsidRDefault="00D671BB" w:rsidP="00D671BB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>
        <w:rPr>
          <w:sz w:val="19"/>
          <w:szCs w:val="19"/>
          <w:u w:val="single"/>
        </w:rPr>
        <w:fldChar w:fldCharType="begin"/>
      </w:r>
      <w:r>
        <w:rPr>
          <w:sz w:val="19"/>
          <w:szCs w:val="19"/>
          <w:u w:val="single"/>
        </w:rPr>
        <w:instrText xml:space="preserve"> ApplicationGuarantee </w:instrText>
      </w:r>
      <w:r>
        <w:rPr>
          <w:sz w:val="19"/>
          <w:szCs w:val="19"/>
          <w:u w:val="single"/>
        </w:rPr>
        <w:fldChar w:fldCharType="separate"/>
      </w:r>
      <w:r>
        <w:rPr>
          <w:b/>
          <w:bCs/>
          <w:sz w:val="19"/>
          <w:szCs w:val="19"/>
          <w:u w:val="single"/>
        </w:rPr>
        <w:t xml:space="preserve">                                               </w:t>
      </w:r>
      <w:r>
        <w:rPr>
          <w:sz w:val="19"/>
          <w:szCs w:val="19"/>
          <w:u w:val="single"/>
        </w:rPr>
        <w:fldChar w:fldCharType="end"/>
      </w:r>
      <w:r>
        <w:rPr>
          <w:sz w:val="19"/>
          <w:szCs w:val="19"/>
          <w:u w:val="single"/>
        </w:rPr>
        <w:t xml:space="preserve">     </w:t>
      </w:r>
      <w:r>
        <w:rPr>
          <w:sz w:val="19"/>
          <w:szCs w:val="19"/>
          <w:u w:val="single"/>
        </w:rPr>
        <w:fldChar w:fldCharType="begin"/>
      </w:r>
      <w:r>
        <w:rPr>
          <w:sz w:val="19"/>
          <w:szCs w:val="19"/>
          <w:u w:val="single"/>
        </w:rPr>
        <w:instrText xml:space="preserve"> ApplicationGuaranteeInWords </w:instrText>
      </w:r>
      <w:r>
        <w:rPr>
          <w:sz w:val="19"/>
          <w:szCs w:val="19"/>
          <w:u w:val="single"/>
        </w:rPr>
        <w:fldChar w:fldCharType="separate"/>
      </w:r>
      <w:r>
        <w:rPr>
          <w:b/>
          <w:bCs/>
          <w:sz w:val="19"/>
          <w:szCs w:val="19"/>
          <w:u w:val="single"/>
        </w:rPr>
        <w:t xml:space="preserve">                                               </w:t>
      </w:r>
      <w:r>
        <w:rPr>
          <w:sz w:val="19"/>
          <w:szCs w:val="19"/>
          <w:u w:val="single"/>
        </w:rPr>
        <w:fldChar w:fldCharType="end"/>
      </w:r>
      <w:r>
        <w:rPr>
          <w:b/>
          <w:bCs/>
          <w:sz w:val="19"/>
          <w:szCs w:val="19"/>
        </w:rPr>
        <w:t xml:space="preserve"> </w:t>
      </w:r>
      <w:r>
        <w:rPr>
          <w:b/>
          <w:sz w:val="18"/>
          <w:szCs w:val="18"/>
        </w:rPr>
        <w:t xml:space="preserve">_________________ руб. </w:t>
      </w:r>
      <w:r>
        <w:rPr>
          <w:sz w:val="18"/>
          <w:szCs w:val="18"/>
        </w:rPr>
        <w:t>__________________________(сумма прописью)</w:t>
      </w:r>
      <w:r>
        <w:rPr>
          <w:sz w:val="19"/>
          <w:szCs w:val="19"/>
        </w:rPr>
        <w:t>,</w:t>
      </w:r>
      <w:r>
        <w:rPr>
          <w:b/>
          <w:bCs/>
          <w:sz w:val="19"/>
          <w:szCs w:val="19"/>
        </w:rPr>
        <w:t xml:space="preserve"> в сроки и в порядке, установленные в </w:t>
      </w:r>
      <w:r w:rsidR="00E770B6">
        <w:rPr>
          <w:b/>
          <w:bCs/>
          <w:sz w:val="19"/>
          <w:szCs w:val="19"/>
        </w:rPr>
        <w:t>Извещении о проведении аукциона в электронной форме,</w:t>
      </w:r>
      <w:r w:rsidR="00E770B6">
        <w:rPr>
          <w:b/>
          <w:bCs/>
          <w:sz w:val="19"/>
          <w:szCs w:val="19"/>
        </w:rPr>
        <w:t xml:space="preserve"> Документации </w:t>
      </w:r>
      <w:r>
        <w:rPr>
          <w:b/>
          <w:bCs/>
          <w:sz w:val="19"/>
          <w:szCs w:val="19"/>
        </w:rPr>
        <w:t>об аукционе в электронной форме на указанный Объект(ы) (лот) в элек</w:t>
      </w:r>
      <w:r w:rsidR="00E770B6">
        <w:rPr>
          <w:b/>
          <w:bCs/>
          <w:sz w:val="19"/>
          <w:szCs w:val="19"/>
        </w:rPr>
        <w:t xml:space="preserve">тронной форме и в соответствии </w:t>
      </w:r>
      <w:r>
        <w:rPr>
          <w:b/>
          <w:bCs/>
          <w:sz w:val="19"/>
          <w:szCs w:val="19"/>
        </w:rPr>
        <w:t>с Регламентом Оператора электронной площадки.</w:t>
      </w:r>
    </w:p>
    <w:p w:rsidR="00D671BB" w:rsidRDefault="00D671BB" w:rsidP="00D671BB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</w:rPr>
      </w:pPr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 Заявитель обязуется соблюдать условия и порядок проведения аукциона в электронной форме, содержащиеся в </w:t>
      </w:r>
      <w:r w:rsidR="00E770B6">
        <w:rPr>
          <w:sz w:val="17"/>
          <w:szCs w:val="17"/>
        </w:rPr>
        <w:t xml:space="preserve">Извещении </w:t>
      </w:r>
      <w:r w:rsidR="00E770B6">
        <w:rPr>
          <w:sz w:val="17"/>
          <w:szCs w:val="17"/>
        </w:rPr>
        <w:br/>
        <w:t>о проведении аукциона в электронной форме,</w:t>
      </w:r>
      <w:r w:rsidR="00E770B6">
        <w:rPr>
          <w:sz w:val="17"/>
          <w:szCs w:val="17"/>
        </w:rPr>
        <w:t xml:space="preserve"> Документации </w:t>
      </w:r>
      <w:r>
        <w:rPr>
          <w:sz w:val="17"/>
          <w:szCs w:val="17"/>
        </w:rPr>
        <w:t>об аукционе в электронной форме и Регламенте Оператора электронной площадки.</w:t>
      </w:r>
      <w:r>
        <w:rPr>
          <w:sz w:val="18"/>
          <w:szCs w:val="18"/>
          <w:vertAlign w:val="superscript"/>
        </w:rPr>
        <w:footnoteReference w:id="3"/>
      </w:r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2. Заявитель согласен и принимает все условия, требования, положения </w:t>
      </w:r>
      <w:r w:rsidR="00E770B6">
        <w:rPr>
          <w:sz w:val="17"/>
          <w:szCs w:val="17"/>
        </w:rPr>
        <w:t xml:space="preserve">Извещения о проведении аукциона в электронной форме, </w:t>
      </w:r>
      <w:r>
        <w:rPr>
          <w:sz w:val="17"/>
          <w:szCs w:val="17"/>
        </w:rPr>
        <w:t>Документации об аукционе в электронной форме, проекта договора и Регламента Оператора электронной площадки, и они ему понятны. Заявителю известно фактическое состояние и технические характеристики Объекта(</w:t>
      </w:r>
      <w:proofErr w:type="spellStart"/>
      <w:r>
        <w:rPr>
          <w:sz w:val="17"/>
          <w:szCs w:val="17"/>
        </w:rPr>
        <w:t>ов</w:t>
      </w:r>
      <w:proofErr w:type="spellEnd"/>
      <w:r>
        <w:rPr>
          <w:sz w:val="17"/>
          <w:szCs w:val="17"/>
        </w:rPr>
        <w:t>) (лота) аукциона в электронной форме, и он не имеет претензий к ним.</w:t>
      </w:r>
    </w:p>
    <w:p w:rsidR="00D671BB" w:rsidRDefault="00E770B6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>3. Заявитель</w:t>
      </w:r>
      <w:r w:rsidR="00D671BB">
        <w:rPr>
          <w:sz w:val="17"/>
          <w:szCs w:val="17"/>
        </w:rPr>
        <w:t xml:space="preserve">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</w:t>
      </w:r>
      <w:r>
        <w:rPr>
          <w:sz w:val="17"/>
          <w:szCs w:val="17"/>
        </w:rPr>
        <w:t xml:space="preserve">Извещении </w:t>
      </w:r>
      <w:r>
        <w:rPr>
          <w:sz w:val="17"/>
          <w:szCs w:val="17"/>
        </w:rPr>
        <w:t xml:space="preserve">о проведении аукциона в электронной форме, </w:t>
      </w:r>
      <w:r w:rsidR="00D671BB">
        <w:rPr>
          <w:sz w:val="17"/>
          <w:szCs w:val="17"/>
        </w:rPr>
        <w:t>Документации об аукционе в электронной форме.</w:t>
      </w:r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4. Ответственность за достоверность представленных документов и информации несет Заявитель. </w:t>
      </w:r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</w:t>
      </w:r>
      <w:r w:rsidR="00E770B6">
        <w:rPr>
          <w:sz w:val="17"/>
          <w:szCs w:val="17"/>
        </w:rPr>
        <w:t xml:space="preserve">Извещением о проведении аукциона в электронной форме, </w:t>
      </w:r>
      <w:r w:rsidR="00E770B6">
        <w:rPr>
          <w:sz w:val="17"/>
          <w:szCs w:val="17"/>
        </w:rPr>
        <w:t xml:space="preserve">Документацией об аукционе </w:t>
      </w:r>
      <w:r>
        <w:rPr>
          <w:sz w:val="17"/>
          <w:szCs w:val="17"/>
        </w:rPr>
        <w:t xml:space="preserve">в электронной форме и проектом договора, и они ему понятны. </w:t>
      </w:r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>6. Заявитель подтверждает, что в отношении него отсутствует решение о ликвидации (в случае если Заявитель – юридическое лицо), отсутствует решение арбитражного суда о признании его банкротом и об открытии конкурсного производства (в случае если Заявитель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7. Заявитель осведомлен и согласен с тем, что Арендодатель и Организатор аукциона в электронной форме, Оператор электронной площадки не несут ответственности за ущерб, который может быть причинен Заявителю отменой аукциона в электронной форме, внесением изменений в </w:t>
      </w:r>
      <w:r w:rsidR="004407DD">
        <w:rPr>
          <w:sz w:val="17"/>
          <w:szCs w:val="17"/>
        </w:rPr>
        <w:t>И</w:t>
      </w:r>
      <w:r w:rsidR="004407DD">
        <w:rPr>
          <w:sz w:val="17"/>
          <w:szCs w:val="17"/>
        </w:rPr>
        <w:t xml:space="preserve">звещение о проведении аукциона </w:t>
      </w:r>
      <w:r w:rsidR="004407DD">
        <w:rPr>
          <w:sz w:val="17"/>
          <w:szCs w:val="17"/>
        </w:rPr>
        <w:t xml:space="preserve">в электронной форме, </w:t>
      </w:r>
      <w:r>
        <w:rPr>
          <w:sz w:val="17"/>
          <w:szCs w:val="17"/>
        </w:rPr>
        <w:t>Документацию об аукционе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о вне</w:t>
      </w:r>
      <w:r w:rsidR="004407DD">
        <w:rPr>
          <w:sz w:val="17"/>
          <w:szCs w:val="17"/>
        </w:rPr>
        <w:t xml:space="preserve">сении изменений в </w:t>
      </w:r>
      <w:r w:rsidR="004407DD">
        <w:rPr>
          <w:sz w:val="17"/>
          <w:szCs w:val="17"/>
        </w:rPr>
        <w:t>И</w:t>
      </w:r>
      <w:r w:rsidR="004407DD">
        <w:rPr>
          <w:sz w:val="17"/>
          <w:szCs w:val="17"/>
        </w:rPr>
        <w:t xml:space="preserve">звещение о проведении аукциона </w:t>
      </w:r>
      <w:r w:rsidR="004407DD">
        <w:rPr>
          <w:sz w:val="17"/>
          <w:szCs w:val="17"/>
        </w:rPr>
        <w:t xml:space="preserve">в электронной форме, </w:t>
      </w:r>
      <w:r w:rsidR="004407DD">
        <w:rPr>
          <w:sz w:val="17"/>
          <w:szCs w:val="17"/>
        </w:rPr>
        <w:t xml:space="preserve">Документацию </w:t>
      </w:r>
      <w:r>
        <w:rPr>
          <w:sz w:val="17"/>
          <w:szCs w:val="17"/>
        </w:rPr>
        <w:t>об аукционе в электронной форме с даты публикации информации об отмене аукциона в электро</w:t>
      </w:r>
      <w:r w:rsidR="004407DD">
        <w:rPr>
          <w:sz w:val="17"/>
          <w:szCs w:val="17"/>
        </w:rPr>
        <w:t xml:space="preserve">нной форме, внесении изменений </w:t>
      </w:r>
      <w:r>
        <w:rPr>
          <w:sz w:val="17"/>
          <w:szCs w:val="17"/>
        </w:rPr>
        <w:t xml:space="preserve">в </w:t>
      </w:r>
      <w:r w:rsidR="004407DD">
        <w:rPr>
          <w:sz w:val="17"/>
          <w:szCs w:val="17"/>
        </w:rPr>
        <w:t>И</w:t>
      </w:r>
      <w:r w:rsidR="004407DD">
        <w:rPr>
          <w:sz w:val="17"/>
          <w:szCs w:val="17"/>
        </w:rPr>
        <w:t xml:space="preserve">звещение о проведении аукциона </w:t>
      </w:r>
      <w:r w:rsidR="004407DD">
        <w:rPr>
          <w:sz w:val="17"/>
          <w:szCs w:val="17"/>
        </w:rPr>
        <w:t xml:space="preserve">в электронной форме, </w:t>
      </w:r>
      <w:r>
        <w:rPr>
          <w:sz w:val="17"/>
          <w:szCs w:val="17"/>
        </w:rPr>
        <w:t>Документацию об аукционе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>8.</w:t>
      </w:r>
      <w:bookmarkStart w:id="4" w:name="_Hlk90482266"/>
      <w:r>
        <w:rPr>
          <w:sz w:val="17"/>
          <w:szCs w:val="17"/>
        </w:rPr>
        <w:t xml:space="preserve"> Подача Заявки на участие в аукционе в электронной форме в установленные в </w:t>
      </w:r>
      <w:r w:rsidR="004407DD">
        <w:rPr>
          <w:sz w:val="17"/>
          <w:szCs w:val="17"/>
        </w:rPr>
        <w:t>И</w:t>
      </w:r>
      <w:r w:rsidR="004407DD">
        <w:rPr>
          <w:sz w:val="17"/>
          <w:szCs w:val="17"/>
        </w:rPr>
        <w:t xml:space="preserve">звещении о проведении аукциона </w:t>
      </w:r>
      <w:r w:rsidR="004407DD">
        <w:rPr>
          <w:sz w:val="17"/>
          <w:szCs w:val="17"/>
        </w:rPr>
        <w:t xml:space="preserve">в электронной форме, </w:t>
      </w:r>
      <w:r>
        <w:rPr>
          <w:sz w:val="17"/>
          <w:szCs w:val="17"/>
        </w:rPr>
        <w:t>Документации об аукци</w:t>
      </w:r>
      <w:r w:rsidR="004407DD">
        <w:rPr>
          <w:sz w:val="17"/>
          <w:szCs w:val="17"/>
        </w:rPr>
        <w:t xml:space="preserve">оне в электронной форме сроки </w:t>
      </w:r>
      <w:r>
        <w:rPr>
          <w:sz w:val="17"/>
          <w:szCs w:val="17"/>
        </w:rPr>
        <w:t>и порядке являются акцептом оферты в соответствии со статьей 438 Гражданского кодекса Российской Федерации.</w:t>
      </w:r>
      <w:bookmarkEnd w:id="4"/>
    </w:p>
    <w:p w:rsidR="00D671BB" w:rsidRDefault="00D671BB" w:rsidP="00D671BB">
      <w:pPr>
        <w:ind w:firstLine="425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9. В соответствии с Федеральным законом от 27.07.2006 № 152-ФЗ «О персональных данных» (далее - Федеральный закон от 27.07.2006 </w:t>
      </w:r>
      <w:r>
        <w:rPr>
          <w:sz w:val="17"/>
          <w:szCs w:val="17"/>
        </w:rPr>
        <w:br/>
        <w:t xml:space="preserve">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7"/>
          <w:szCs w:val="17"/>
        </w:rPr>
        <w:br/>
        <w:t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bookmarkEnd w:id="0"/>
    </w:p>
    <w:p w:rsidR="00D671BB" w:rsidRDefault="00D671BB" w:rsidP="00D67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0"/>
          <w:szCs w:val="20"/>
        </w:rPr>
      </w:pPr>
    </w:p>
    <w:sectPr w:rsidR="00D671BB" w:rsidSect="004407DD">
      <w:pgSz w:w="11906" w:h="16838" w:code="9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BB" w:rsidRDefault="00D671BB" w:rsidP="00D671BB">
      <w:r>
        <w:separator/>
      </w:r>
    </w:p>
  </w:endnote>
  <w:endnote w:type="continuationSeparator" w:id="0">
    <w:p w:rsidR="00D671BB" w:rsidRDefault="00D671BB" w:rsidP="00D6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BB" w:rsidRDefault="00D671BB" w:rsidP="00D671BB">
      <w:r>
        <w:separator/>
      </w:r>
    </w:p>
  </w:footnote>
  <w:footnote w:type="continuationSeparator" w:id="0">
    <w:p w:rsidR="00D671BB" w:rsidRDefault="00D671BB" w:rsidP="00D671BB">
      <w:r>
        <w:continuationSeparator/>
      </w:r>
    </w:p>
  </w:footnote>
  <w:footnote w:id="1">
    <w:p w:rsidR="00D671BB" w:rsidRDefault="00D671BB" w:rsidP="00D671BB">
      <w:pPr>
        <w:pStyle w:val="a4"/>
        <w:contextualSpacing/>
        <w:jc w:val="both"/>
        <w:rPr>
          <w:sz w:val="16"/>
          <w:szCs w:val="16"/>
        </w:rPr>
      </w:pPr>
      <w:r>
        <w:rPr>
          <w:rStyle w:val="a3"/>
          <w:sz w:val="22"/>
          <w:szCs w:val="22"/>
        </w:rPr>
        <w:t>1</w:t>
      </w:r>
      <w:r>
        <w:rPr>
          <w:sz w:val="16"/>
          <w:szCs w:val="16"/>
        </w:rPr>
        <w:t xml:space="preserve"> Заполняется при подаче Заявки юридическим лицом, или лицом</w:t>
      </w:r>
      <w:r w:rsidR="004407DD">
        <w:rPr>
          <w:sz w:val="16"/>
          <w:szCs w:val="16"/>
        </w:rPr>
        <w:t>,</w:t>
      </w:r>
      <w:r>
        <w:rPr>
          <w:sz w:val="16"/>
          <w:szCs w:val="16"/>
        </w:rPr>
        <w:t xml:space="preserve"> действующим на основании доверенности.</w:t>
      </w:r>
    </w:p>
  </w:footnote>
  <w:footnote w:id="2">
    <w:p w:rsidR="00D671BB" w:rsidRDefault="00D671BB" w:rsidP="00D671BB">
      <w:pPr>
        <w:contextualSpacing/>
        <w:jc w:val="both"/>
        <w:rPr>
          <w:sz w:val="16"/>
          <w:szCs w:val="16"/>
        </w:rPr>
      </w:pPr>
      <w:r>
        <w:rPr>
          <w:rStyle w:val="a3"/>
          <w:sz w:val="22"/>
          <w:szCs w:val="22"/>
        </w:rPr>
        <w:t>2</w:t>
      </w:r>
      <w:r>
        <w:rPr>
          <w:sz w:val="16"/>
          <w:szCs w:val="16"/>
        </w:rPr>
        <w:t xml:space="preserve"> Заполняется при подаче Заявки лицом, действующим по доверенности.</w:t>
      </w:r>
    </w:p>
  </w:footnote>
  <w:footnote w:id="3">
    <w:p w:rsidR="00D671BB" w:rsidRDefault="00D671BB" w:rsidP="00D671BB">
      <w:pPr>
        <w:pStyle w:val="a4"/>
        <w:contextualSpacing/>
        <w:jc w:val="both"/>
        <w:rPr>
          <w:sz w:val="16"/>
          <w:szCs w:val="16"/>
        </w:rPr>
      </w:pPr>
      <w:r>
        <w:rPr>
          <w:rStyle w:val="a3"/>
          <w:sz w:val="22"/>
          <w:szCs w:val="22"/>
        </w:rPr>
        <w:t>3</w:t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D671BB" w:rsidRDefault="00D671BB" w:rsidP="00D671BB">
      <w:pPr>
        <w:pStyle w:val="a4"/>
        <w:contextualSpacing/>
        <w:jc w:val="both"/>
        <w:rPr>
          <w:sz w:val="16"/>
          <w:szCs w:val="16"/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1D"/>
    <w:rsid w:val="002D78FB"/>
    <w:rsid w:val="004407DD"/>
    <w:rsid w:val="005572B3"/>
    <w:rsid w:val="009F031D"/>
    <w:rsid w:val="00D671BB"/>
    <w:rsid w:val="00E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1E9A"/>
  <w15:chartTrackingRefBased/>
  <w15:docId w15:val="{9A25E20F-56F1-4F99-B3DB-01366BB7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B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D671BB"/>
    <w:rPr>
      <w:vertAlign w:val="superscript"/>
    </w:rPr>
  </w:style>
  <w:style w:type="paragraph" w:styleId="a4">
    <w:name w:val="footnote text"/>
    <w:basedOn w:val="a"/>
    <w:link w:val="a5"/>
    <w:qFormat/>
    <w:rsid w:val="00D671BB"/>
    <w:rPr>
      <w:sz w:val="20"/>
      <w:szCs w:val="20"/>
    </w:rPr>
  </w:style>
  <w:style w:type="character" w:customStyle="1" w:styleId="a5">
    <w:name w:val="Текст сноски Знак"/>
    <w:basedOn w:val="a0"/>
    <w:link w:val="a4"/>
    <w:qFormat/>
    <w:rsid w:val="00D671BB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КрыловаВЛ</dc:creator>
  <cp:keywords/>
  <dc:description/>
  <cp:lastModifiedBy>КрыловаВЛ</cp:lastModifiedBy>
  <cp:revision>3</cp:revision>
  <dcterms:created xsi:type="dcterms:W3CDTF">2026-05-20T11:16:00Z</dcterms:created>
  <dcterms:modified xsi:type="dcterms:W3CDTF">2026-05-29T07:15:00Z</dcterms:modified>
</cp:coreProperties>
</file>