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2500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50:32:0050205:140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Серпуховский, д. Барыбино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аэродром Москва (Волосово), приаэродромная территория аэродрома; аэродром Малино, приаэродромная территория аэродрома, границы полос воздушных подходов аэродрома Ступино;</w:t>
        <w:br/>
        <w:t xml:space="preserve">- полностью расположен в водоохранной зоне реки Лопасня;</w:t>
        <w:br/>
        <w:t xml:space="preserve">- на земельном участке имеются ограничения прав, предусмотренные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50:32:0050205:140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Серпуховский, д. Барыбино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