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E090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9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E090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E0908">
        <w:rPr>
          <w:noProof/>
          <w:sz w:val="24"/>
          <w:szCs w:val="24"/>
        </w:rPr>
        <w:t>1707</w:t>
      </w:r>
      <w:r w:rsidR="00102979"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E090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E090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E0908">
        <w:rPr>
          <w:sz w:val="24"/>
          <w:szCs w:val="24"/>
        </w:rPr>
        <w:t xml:space="preserve"> </w:t>
      </w:r>
      <w:r w:rsidR="001964A6" w:rsidRPr="00EE0908">
        <w:rPr>
          <w:noProof/>
          <w:sz w:val="24"/>
          <w:szCs w:val="24"/>
        </w:rPr>
        <w:t>50:26:0010403:443</w:t>
      </w:r>
      <w:r w:rsidRPr="00EE090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E0908">
        <w:rPr>
          <w:sz w:val="24"/>
          <w:szCs w:val="24"/>
        </w:rPr>
        <w:t xml:space="preserve"> – «</w:t>
      </w:r>
      <w:r w:rsidR="00597746" w:rsidRPr="00EE0908">
        <w:rPr>
          <w:noProof/>
          <w:sz w:val="24"/>
          <w:szCs w:val="24"/>
        </w:rPr>
        <w:t>Земли населенных пунктов</w:t>
      </w:r>
      <w:r w:rsidRPr="00EE09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E0908">
        <w:rPr>
          <w:sz w:val="24"/>
          <w:szCs w:val="24"/>
        </w:rPr>
        <w:t xml:space="preserve"> – «</w:t>
      </w:r>
      <w:r w:rsidR="003E59E1" w:rsidRPr="00EE0908">
        <w:rPr>
          <w:noProof/>
          <w:sz w:val="24"/>
          <w:szCs w:val="24"/>
        </w:rPr>
        <w:t>Для индивидуального жилищного строительства</w:t>
      </w:r>
      <w:r w:rsidRPr="00EE09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E0908">
        <w:rPr>
          <w:sz w:val="24"/>
          <w:szCs w:val="24"/>
        </w:rPr>
        <w:t xml:space="preserve">: </w:t>
      </w:r>
      <w:r w:rsidR="00D1191C" w:rsidRPr="00EE0908">
        <w:rPr>
          <w:noProof/>
          <w:sz w:val="24"/>
          <w:szCs w:val="24"/>
        </w:rPr>
        <w:t>Российская Федерация, Московская область, г.о. Наро-Фоминск, д. Веселево</w:t>
      </w:r>
      <w:r w:rsidR="00472CAA" w:rsidRPr="00EE0908">
        <w:rPr>
          <w:sz w:val="24"/>
          <w:szCs w:val="24"/>
        </w:rPr>
        <w:t xml:space="preserve"> </w:t>
      </w:r>
      <w:r w:rsidRPr="00EE090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E090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E09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E090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водоохранной зоне ручья; прибрежной защитной полосе ручья. Ограничения прав на земельный участок, предусмотренные ст. 56 Земельного кодекса Российской Федерации. Срок ограничения не установлен.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EB70E5E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E0908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Водным кодексом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</w:t>
      </w:r>
      <w:r w:rsidRPr="00A31FA7">
        <w:lastRenderedPageBreak/>
        <w:t>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FAEF773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657E5A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E090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E0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E090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E090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EE090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E0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E090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9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E090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E0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E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E090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12CAB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EE09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3C064" w14:textId="77777777" w:rsidR="00845934" w:rsidRPr="00A31FA7" w:rsidRDefault="00CA250B" w:rsidP="00845934">
      <w:pPr>
        <w:pStyle w:val="ConsPlusNormal"/>
        <w:ind w:left="6804"/>
      </w:pPr>
      <w:r w:rsidRPr="00EE0908">
        <w:br w:type="page"/>
      </w:r>
      <w:r w:rsidR="00845934" w:rsidRPr="00A31FA7">
        <w:lastRenderedPageBreak/>
        <w:t>Приложение № 2 к договору аренды № _______ от «___» __________ 20___ года</w:t>
      </w:r>
    </w:p>
    <w:p w14:paraId="316B03B9" w14:textId="06891F55" w:rsidR="00500B27" w:rsidRPr="00EE0908" w:rsidRDefault="00500B27" w:rsidP="00EE0908">
      <w:pPr>
        <w:pStyle w:val="ConsPlusNonformat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1707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5934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0908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954F3-E320-4313-97E0-1B803EDD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3085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53</cp:revision>
  <cp:lastPrinted>2022-02-16T11:57:00Z</cp:lastPrinted>
  <dcterms:created xsi:type="dcterms:W3CDTF">2024-02-19T14:31:00Z</dcterms:created>
  <dcterms:modified xsi:type="dcterms:W3CDTF">2024-11-23T16:21:00Z</dcterms:modified>
</cp:coreProperties>
</file>