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50:24:0010303:225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обл. Московская, р-н Орехово-Зуевский, д. Поточино (Малодубенское с/п), за участком дома 13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50:24:0010303:225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обл. Московская, р-н Орехово-Зуевский, д. Поточино (Малодубенское с/п), за участком дома 13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