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0E1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Балашиха, шоссе Энтузиастов, д 7/1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ПО УПРАВЛЕНИЮ ИМУЩЕСТВОМ АДМИНИСТРАЦИИ ГОРОДСКОГО ОКРУГА БАЛАШИХА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1165001050158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5001106785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500101001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B40E17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Балашиха</w:t>
      </w:r>
      <w:r w:rsidR="00E85A21" w:rsidRPr="00B40E17">
        <w:rPr>
          <w:bCs/>
          <w:szCs w:val="24"/>
          <w:lang w:val="ru-RU"/>
        </w:rPr>
        <w:t>,</w:t>
      </w:r>
      <w:r w:rsidR="00E85A21" w:rsidRPr="00B40E17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B40E17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B40E17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B40E17">
        <w:rPr>
          <w:szCs w:val="24"/>
          <w:lang w:val="ru-RU"/>
        </w:rPr>
        <w:t xml:space="preserve">: Московская область, г. Балашиха, </w:t>
      </w:r>
      <w:proofErr w:type="spellStart"/>
      <w:r w:rsidR="00E85A21" w:rsidRPr="00B40E17">
        <w:rPr>
          <w:szCs w:val="24"/>
          <w:lang w:val="ru-RU"/>
        </w:rPr>
        <w:t>мкр</w:t>
      </w:r>
      <w:proofErr w:type="spellEnd"/>
      <w:r w:rsidR="00E85A21" w:rsidRPr="00B40E17">
        <w:rPr>
          <w:szCs w:val="24"/>
          <w:lang w:val="ru-RU"/>
        </w:rPr>
        <w:t xml:space="preserve">. </w:t>
      </w:r>
      <w:proofErr w:type="spellStart"/>
      <w:r w:rsidR="00E85A21" w:rsidRPr="00B0406D">
        <w:rPr>
          <w:szCs w:val="24"/>
        </w:rPr>
        <w:t>Купавна</w:t>
      </w:r>
      <w:proofErr w:type="spellEnd"/>
      <w:r w:rsidR="00E85A21" w:rsidRPr="00B0406D">
        <w:rPr>
          <w:szCs w:val="24"/>
        </w:rPr>
        <w:t xml:space="preserve">, </w:t>
      </w:r>
      <w:proofErr w:type="spellStart"/>
      <w:r w:rsidR="00E85A21" w:rsidRPr="00B0406D">
        <w:rPr>
          <w:szCs w:val="24"/>
        </w:rPr>
        <w:t>ул</w:t>
      </w:r>
      <w:proofErr w:type="spellEnd"/>
      <w:r w:rsidR="00E85A21" w:rsidRPr="00B0406D">
        <w:rPr>
          <w:szCs w:val="24"/>
        </w:rPr>
        <w:t>. Адмирала Горшкова, д. 17, пом. I</w:t>
      </w:r>
      <w:r w:rsidR="00E85A21" w:rsidRPr="00B40E17">
        <w:rPr>
          <w:szCs w:val="24"/>
          <w:lang w:val="ru-RU"/>
        </w:rPr>
        <w:t xml:space="preserve">, </w:t>
      </w:r>
      <w:r w:rsidR="00E85A21" w:rsidRPr="006225B2">
        <w:rPr>
          <w:lang w:val="ru-RU"/>
        </w:rPr>
        <w:t>опубликованного</w:t>
      </w:r>
      <w:r w:rsidR="00E85A21" w:rsidRPr="00B40E17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B40E17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B40E17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B40E17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B40E17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B40E17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B40E17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B40E17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B40E17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B40E17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B40E17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B40E17">
        <w:rPr>
          <w:lang w:val="ru-RU"/>
        </w:rPr>
        <w:t xml:space="preserve"> </w:t>
      </w:r>
      <w:proofErr w:type="gramStart"/>
      <w:r w:rsidR="00E85A21" w:rsidRPr="006225B2">
        <w:rPr>
          <w:u w:val="single"/>
        </w:rPr>
        <w:t>www</w:t>
      </w:r>
      <w:r w:rsidR="00E85A21" w:rsidRPr="00B40E17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B40E17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B40E17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B40E17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B40E17">
        <w:rPr>
          <w:lang w:val="ru-RU"/>
        </w:rPr>
        <w:t xml:space="preserve"> (</w:t>
      </w:r>
      <w:proofErr w:type="gramEnd"/>
      <w:r w:rsidR="00E85A21" w:rsidRPr="00B40E17">
        <w:rPr>
          <w:lang w:val="ru-RU"/>
        </w:rPr>
        <w:t>№ __________)</w:t>
      </w:r>
      <w:bookmarkEnd w:id="4"/>
      <w:bookmarkEnd w:id="5"/>
      <w:r w:rsidR="00E85A21" w:rsidRPr="00B40E17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B40E17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B40E17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B40E17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B40E17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B40E17">
        <w:rPr>
          <w:lang w:val="ru-RU"/>
        </w:rPr>
        <w:t xml:space="preserve"> </w:t>
      </w:r>
      <w:bookmarkStart w:id="6" w:name="_Hlk141972014"/>
      <w:proofErr w:type="gramStart"/>
      <w:r w:rsidR="00E85A21" w:rsidRPr="006225B2">
        <w:rPr>
          <w:lang w:val="ru-RU"/>
        </w:rPr>
        <w:t>основании</w:t>
      </w:r>
      <w:r w:rsidR="00E85A21" w:rsidRPr="00B40E17">
        <w:rPr>
          <w:lang w:val="ru-RU"/>
        </w:rPr>
        <w:t xml:space="preserve"> </w:t>
      </w:r>
      <w:bookmarkEnd w:id="6"/>
      <w:r w:rsidR="00E85A21" w:rsidRPr="00B40E17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proofErr w:type="gramEnd"/>
      <w:r w:rsidR="00E85A21" w:rsidRPr="00B40E17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B40E17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B40E17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B40E17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B40E17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B40E17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B40E17">
        <w:rPr>
          <w:lang w:val="ru-RU"/>
        </w:rPr>
        <w:t>.</w:t>
      </w:r>
    </w:p>
    <w:p w14:paraId="3EFABB24" w14:textId="057BF3AD" w:rsidR="00E85A21" w:rsidRPr="00B40E17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B40E17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B40E17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B40E17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B40E17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B40E1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B40E17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B40E1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B40E1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B40E17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B40E17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B40E1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B40E1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B40E1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B40E1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B40E17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B40E17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B40E17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B40E1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B40E1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B40E17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B40E1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B40E1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B40E17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B40E17">
        <w:rPr>
          <w:szCs w:val="24"/>
          <w:lang w:val="ru-RU"/>
        </w:rPr>
        <w:t>):</w:t>
      </w:r>
      <w:r w:rsidR="00EF6AF5" w:rsidRPr="00B40E17">
        <w:rPr>
          <w:szCs w:val="24"/>
          <w:lang w:val="ru-RU"/>
        </w:rPr>
        <w:t xml:space="preserve"> </w:t>
      </w:r>
      <w:r w:rsidR="00B6335A" w:rsidRPr="00B40E17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B40E17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B40E17">
        <w:rPr>
          <w:szCs w:val="24"/>
          <w:lang w:val="ru-RU"/>
        </w:rPr>
        <w:t xml:space="preserve">: </w:t>
      </w:r>
      <w:r w:rsidR="00525E63" w:rsidRPr="00B40E17">
        <w:rPr>
          <w:noProof/>
          <w:szCs w:val="24"/>
          <w:lang w:val="ru-RU"/>
        </w:rPr>
        <w:t>Помещения</w:t>
      </w:r>
      <w:r w:rsidRPr="00B40E17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B40E17">
        <w:rPr>
          <w:szCs w:val="24"/>
          <w:lang w:val="ru-RU"/>
        </w:rPr>
        <w:t xml:space="preserve">: </w:t>
      </w:r>
      <w:r w:rsidRPr="00B40E17">
        <w:rPr>
          <w:noProof/>
          <w:szCs w:val="24"/>
          <w:lang w:val="ru-RU"/>
        </w:rPr>
        <w:t>Нежилые помещения</w:t>
      </w:r>
      <w:r w:rsidRPr="00B40E17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B40E17">
        <w:rPr>
          <w:szCs w:val="24"/>
          <w:lang w:val="ru-RU"/>
        </w:rPr>
        <w:t xml:space="preserve">: 191.5 </w:t>
      </w:r>
      <w:proofErr w:type="gramStart"/>
      <w:r w:rsidRPr="006225B2">
        <w:rPr>
          <w:szCs w:val="24"/>
          <w:lang w:val="ru-RU"/>
        </w:rPr>
        <w:t>кв</w:t>
      </w:r>
      <w:r w:rsidRPr="00B40E17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B40E17">
        <w:rPr>
          <w:szCs w:val="24"/>
          <w:lang w:val="ru-RU"/>
        </w:rPr>
        <w:t>.</w:t>
      </w:r>
      <w:r w:rsidR="00CC3915" w:rsidRPr="00B40E17">
        <w:rPr>
          <w:szCs w:val="24"/>
          <w:lang w:val="ru-RU"/>
        </w:rPr>
        <w:t xml:space="preserve"> </w:t>
      </w:r>
      <w:r w:rsidRPr="00B40E17">
        <w:rPr>
          <w:szCs w:val="24"/>
          <w:lang w:val="ru-RU"/>
        </w:rPr>
        <w:t>,</w:t>
      </w:r>
      <w:proofErr w:type="gramEnd"/>
      <w:r w:rsidR="008F3CA1" w:rsidRPr="00B40E17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B40E17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B40E17">
        <w:rPr>
          <w:szCs w:val="24"/>
          <w:lang w:val="ru-RU"/>
        </w:rPr>
        <w:t xml:space="preserve">: Московская область, г. Балашиха, </w:t>
      </w:r>
      <w:proofErr w:type="spellStart"/>
      <w:r w:rsidR="008F3CA1" w:rsidRPr="00B40E17">
        <w:rPr>
          <w:szCs w:val="24"/>
          <w:lang w:val="ru-RU"/>
        </w:rPr>
        <w:t>мкр</w:t>
      </w:r>
      <w:proofErr w:type="spellEnd"/>
      <w:r w:rsidR="008F3CA1" w:rsidRPr="00B40E17">
        <w:rPr>
          <w:szCs w:val="24"/>
          <w:lang w:val="ru-RU"/>
        </w:rPr>
        <w:t xml:space="preserve">. </w:t>
      </w:r>
      <w:proofErr w:type="spellStart"/>
      <w:r w:rsidR="008F3CA1" w:rsidRPr="00B0406D">
        <w:rPr>
          <w:szCs w:val="24"/>
        </w:rPr>
        <w:t>Купавна</w:t>
      </w:r>
      <w:proofErr w:type="spellEnd"/>
      <w:r w:rsidR="008F3CA1" w:rsidRPr="00B0406D">
        <w:rPr>
          <w:szCs w:val="24"/>
        </w:rPr>
        <w:t xml:space="preserve">, </w:t>
      </w:r>
      <w:proofErr w:type="spellStart"/>
      <w:r w:rsidR="008F3CA1" w:rsidRPr="00B0406D">
        <w:rPr>
          <w:szCs w:val="24"/>
        </w:rPr>
        <w:t>ул</w:t>
      </w:r>
      <w:proofErr w:type="spellEnd"/>
      <w:r w:rsidR="008F3CA1" w:rsidRPr="00B0406D">
        <w:rPr>
          <w:szCs w:val="24"/>
        </w:rPr>
        <w:t>. Адмирала Горшкова, д. 17, пом. I</w:t>
      </w:r>
      <w:r w:rsidRPr="00B40E1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B40E1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B40E17">
        <w:rPr>
          <w:szCs w:val="24"/>
          <w:lang w:val="ru-RU"/>
        </w:rPr>
        <w:t xml:space="preserve">: 50:50:0060801:727, </w:t>
      </w:r>
      <w:proofErr w:type="gramStart"/>
      <w:r w:rsidRPr="006225B2">
        <w:rPr>
          <w:szCs w:val="24"/>
          <w:lang w:val="ru-RU"/>
        </w:rPr>
        <w:t>находящийся</w:t>
      </w:r>
      <w:r w:rsidRPr="00B40E17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proofErr w:type="gramEnd"/>
      <w:r w:rsidRPr="00B40E1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B40E1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B40E17">
        <w:rPr>
          <w:szCs w:val="24"/>
          <w:lang w:val="ru-RU"/>
        </w:rPr>
        <w:t>: Городской округ Балашиха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B40E17">
        <w:rPr>
          <w:szCs w:val="24"/>
          <w:lang w:val="ru-RU"/>
        </w:rPr>
        <w:t xml:space="preserve">09.08.2022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B40E17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B40E17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B40E17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B40E17">
        <w:rPr>
          <w:rFonts w:eastAsia="Calibri"/>
          <w:bCs/>
          <w:szCs w:val="24"/>
          <w:lang w:val="ru-RU"/>
        </w:rPr>
        <w:t xml:space="preserve"> №</w:t>
      </w:r>
      <w:r w:rsidR="00CC3915" w:rsidRPr="00B40E17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50:50:0060801:727-50/110/2022-5.</w:t>
      </w:r>
    </w:p>
    <w:p w14:paraId="1CD28B6E" w14:textId="71AEDFDE" w:rsidR="00B6335A" w:rsidRPr="00B40E17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B40E17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B40E17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B40E17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B40E17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B40E17">
        <w:rPr>
          <w:bCs/>
          <w:szCs w:val="24"/>
          <w:lang w:val="ru-RU"/>
        </w:rPr>
        <w:t>.</w:t>
      </w:r>
      <w:r w:rsidRPr="00B40E17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B40E17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B40E17">
        <w:rPr>
          <w:szCs w:val="24"/>
          <w:lang w:val="ru-RU"/>
        </w:rPr>
        <w:t xml:space="preserve"> </w:t>
      </w:r>
      <w:r w:rsidRPr="00B40E17">
        <w:rPr>
          <w:szCs w:val="24"/>
          <w:lang w:val="ru-RU"/>
        </w:rPr>
        <w:t>.</w:t>
      </w:r>
      <w:proofErr w:type="gramEnd"/>
    </w:p>
    <w:p w14:paraId="35E0E17B" w14:textId="11D1AE95" w:rsidR="0072514F" w:rsidRPr="00B40E17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Балашиха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Балашиха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Балашиха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lastRenderedPageBreak/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Балашиха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Балашиха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7090AC30" w14:textId="1FC43DE5" w:rsidR="0056575F" w:rsidRPr="006225B2" w:rsidRDefault="00677BB5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77BB5">
        <w:rPr>
          <w:b/>
          <w:color w:val="000000" w:themeColor="text1"/>
          <w:szCs w:val="24"/>
          <w:lang w:val="ru-RU"/>
        </w:rPr>
        <w:t xml:space="preserve">Московская область, г. Балашиха, мкр. Купавна, ул. Адмирала Горшкова, д. 17, пом. </w:t>
      </w:r>
      <w:r w:rsidRPr="00677BB5">
        <w:rPr>
          <w:b/>
          <w:color w:val="000000" w:themeColor="text1"/>
          <w:szCs w:val="24"/>
        </w:rPr>
        <w:t>I</w:t>
      </w:r>
      <w:r w:rsidR="00A37771"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187BFA" w:rsidRPr="006225B2">
        <w:rPr>
          <w:bCs/>
          <w:lang w:val="ru-RU"/>
        </w:rPr>
        <w:t xml:space="preserve">Балашиха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ПО УПРАВЛЕНИЮ ИМУЩЕСТВОМ АДМИНИСТРАЦИИ ГОРОДСКОГО ОКРУГА БАЛАШИХА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5001106785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500101001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46704000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B40E17" w14:paraId="7CBD5CA9" w14:textId="77777777" w:rsidTr="005B43F4">
        <w:tc>
          <w:tcPr>
            <w:tcW w:w="2465" w:type="pct"/>
          </w:tcPr>
          <w:p w14:paraId="56E2DB5A" w14:textId="2E738A88" w:rsidR="005B43F4" w:rsidRPr="00B40E17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B40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B40E17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B40E17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УПРАВЛЕНИЮ ИМУЩЕСТВОМ АДМИНИСТРАЦИИ ГОРОДСКОГО ОКРУГА БАЛАШИХА</w:t>
            </w:r>
          </w:p>
          <w:p w14:paraId="17AFBE39" w14:textId="77777777" w:rsidR="005B43F4" w:rsidRPr="00B40E17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B4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40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B40E17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E17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Балашиха, шоссе Энтузиастов, д 7/1</w:t>
            </w:r>
            <w:r w:rsidRPr="00B40E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Балашиха, шоссе Энтузиастов, д 7/1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5001106785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500101001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B40E17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B40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B40E17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682778FB" w14:textId="77777777" w:rsidR="00B40E17" w:rsidRDefault="00B40E17" w:rsidP="00B40E17">
      <w:pPr>
        <w:pStyle w:val="ConsPlusNormal"/>
        <w:ind w:left="6804"/>
        <w:outlineLvl w:val="0"/>
      </w:pPr>
    </w:p>
    <w:p w14:paraId="6D27D4CC" w14:textId="77777777" w:rsidR="00B40E17" w:rsidRDefault="00B40E17" w:rsidP="00B40E17">
      <w:pPr>
        <w:pStyle w:val="ConsPlusNormal"/>
        <w:ind w:left="6804"/>
        <w:outlineLvl w:val="0"/>
      </w:pPr>
    </w:p>
    <w:p w14:paraId="3FEB26A4" w14:textId="4D591282" w:rsidR="00B40E17" w:rsidRPr="004C337D" w:rsidRDefault="00B40E17" w:rsidP="00B40E17">
      <w:pPr>
        <w:pStyle w:val="ConsPlusNormal"/>
        <w:ind w:left="6804"/>
        <w:outlineLvl w:val="0"/>
      </w:pPr>
      <w:r w:rsidRPr="00D07C39"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3B362829" w14:textId="77777777" w:rsidR="00B40E17" w:rsidRPr="004C337D" w:rsidRDefault="00B40E17" w:rsidP="00B40E17">
      <w:pPr>
        <w:pStyle w:val="ConsPlusNormal"/>
        <w:ind w:left="6804"/>
        <w:outlineLvl w:val="0"/>
      </w:pPr>
      <w:proofErr w:type="gramStart"/>
      <w:r w:rsidRPr="00D07C39">
        <w:t>от</w:t>
      </w:r>
      <w:r w:rsidRPr="004C337D">
        <w:t xml:space="preserve"> </w:t>
      </w:r>
      <w:r w:rsidRPr="002F56CD">
        <w:t xml:space="preserve"> _</w:t>
      </w:r>
      <w:proofErr w:type="gramEnd"/>
      <w:r w:rsidRPr="002F56CD">
        <w:t>_____</w:t>
      </w:r>
      <w:proofErr w:type="gramStart"/>
      <w:r w:rsidRPr="002F56CD">
        <w:t>_  №</w:t>
      </w:r>
      <w:proofErr w:type="gramEnd"/>
      <w:r w:rsidRPr="002F56CD">
        <w:t xml:space="preserve">  _______  </w:t>
      </w:r>
    </w:p>
    <w:p w14:paraId="27AF8AC8" w14:textId="77777777" w:rsidR="00B40E17" w:rsidRPr="002F56CD" w:rsidRDefault="00B40E17" w:rsidP="00B40E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BE4FD" w14:textId="77777777" w:rsidR="00B40E17" w:rsidRPr="00B40E17" w:rsidRDefault="00B40E17" w:rsidP="00B40E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B40E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3C7895" w14:textId="77777777" w:rsidR="00B40E17" w:rsidRPr="00B40E17" w:rsidRDefault="00B40E17" w:rsidP="00B40E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B40E1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B40E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B40E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4CEAA839" w14:textId="77777777" w:rsidR="00B40E17" w:rsidRPr="00B40E17" w:rsidRDefault="00B40E17" w:rsidP="00B40E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4601B" w14:textId="77777777" w:rsidR="00B40E17" w:rsidRPr="00B40E17" w:rsidRDefault="00B40E17" w:rsidP="00B40E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7DE01" w14:textId="77777777" w:rsidR="00B40E17" w:rsidRPr="00B40E17" w:rsidRDefault="00B40E17" w:rsidP="00B40E1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B40E17" w:rsidRPr="00D34D25" w14:paraId="3C1199E4" w14:textId="77777777" w:rsidTr="004E5AF9">
        <w:tc>
          <w:tcPr>
            <w:tcW w:w="6663" w:type="dxa"/>
          </w:tcPr>
          <w:p w14:paraId="6F7C78F1" w14:textId="77777777" w:rsidR="00B40E17" w:rsidRPr="002F56CD" w:rsidRDefault="00B40E17" w:rsidP="004E5A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6C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Балашиха, шоссе Энтузиастов, д 7/1</w:t>
            </w:r>
          </w:p>
        </w:tc>
        <w:tc>
          <w:tcPr>
            <w:tcW w:w="2976" w:type="dxa"/>
          </w:tcPr>
          <w:p w14:paraId="1538B8AE" w14:textId="77777777" w:rsidR="00B40E17" w:rsidRPr="00D34D25" w:rsidRDefault="00B40E17" w:rsidP="004E5AF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_Hlk135229373"/>
            <w:r w:rsidRPr="00B40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7"/>
          </w:p>
        </w:tc>
      </w:tr>
    </w:tbl>
    <w:p w14:paraId="0A499FE4" w14:textId="77777777" w:rsidR="00B40E17" w:rsidRPr="00D34D25" w:rsidRDefault="00B40E17" w:rsidP="00B40E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879C0F" w14:textId="77777777" w:rsidR="00B40E17" w:rsidRPr="00F30B29" w:rsidRDefault="00B40E17" w:rsidP="00B40E17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БАЛАШИХА, ОГРН 1165001050158, ИНН/КПП 5001106785/500101001,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7E7AC80F" w14:textId="77777777" w:rsidR="00B40E17" w:rsidRPr="00F30B29" w:rsidRDefault="00B40E17" w:rsidP="00B40E17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4759D4C5" w14:textId="77777777" w:rsidR="00B40E17" w:rsidRPr="00F30B29" w:rsidRDefault="00B40E17" w:rsidP="00B40E17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5C446401" w14:textId="77777777" w:rsidR="00B40E17" w:rsidRPr="00F30B29" w:rsidRDefault="00B40E17" w:rsidP="00B40E17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46BD5D6B" w14:textId="77777777" w:rsidR="00B40E17" w:rsidRPr="00F30B29" w:rsidRDefault="00B40E17" w:rsidP="00B40E17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69B5B0A7" w14:textId="77777777" w:rsidR="00B40E17" w:rsidRPr="00F30B29" w:rsidRDefault="00B40E17" w:rsidP="00B40E17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7A46EE40" w14:textId="77777777" w:rsidR="00B40E17" w:rsidRPr="00F30B29" w:rsidRDefault="00B40E17" w:rsidP="00B40E17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0E2F098F" w14:textId="77777777" w:rsidR="00B40E17" w:rsidRPr="002F56CD" w:rsidRDefault="00B40E17" w:rsidP="00B40E1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Городской округ Балашиха</w:t>
      </w:r>
      <w:r w:rsidRPr="002F56CD">
        <w:rPr>
          <w:rFonts w:ascii="Times New Roman" w:eastAsia="Times New Roman" w:hAnsi="Times New Roman"/>
          <w:bCs/>
          <w:sz w:val="24"/>
          <w:szCs w:val="24"/>
        </w:rPr>
        <w:t>,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: Московская область, г. Балашиха, </w:t>
      </w:r>
      <w:proofErr w:type="spellStart"/>
      <w:r w:rsidRPr="002F56CD">
        <w:rPr>
          <w:rFonts w:ascii="Times New Roman" w:eastAsia="Times New Roman" w:hAnsi="Times New Roman"/>
          <w:sz w:val="24"/>
          <w:szCs w:val="24"/>
        </w:rPr>
        <w:t>мкр</w:t>
      </w:r>
      <w:proofErr w:type="spellEnd"/>
      <w:r w:rsidRPr="002F56CD">
        <w:rPr>
          <w:rFonts w:ascii="Times New Roman" w:eastAsia="Times New Roman" w:hAnsi="Times New Roman"/>
          <w:sz w:val="24"/>
          <w:szCs w:val="24"/>
        </w:rPr>
        <w:t xml:space="preserve">. </w:t>
      </w:r>
      <w:r w:rsidRPr="00B40E17">
        <w:rPr>
          <w:rFonts w:ascii="Times New Roman" w:eastAsia="Times New Roman" w:hAnsi="Times New Roman"/>
          <w:sz w:val="24"/>
          <w:szCs w:val="24"/>
        </w:rPr>
        <w:t xml:space="preserve">Купавна, ул. Адмирала Горшкова, д. 17, пом. </w:t>
      </w:r>
      <w:r w:rsidRPr="00F30B29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2F56CD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2F56CD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2F56CD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2F56CD">
        <w:rPr>
          <w:rFonts w:ascii="Times New Roman" w:eastAsia="Times New Roman" w:hAnsi="Times New Roman"/>
          <w:sz w:val="24"/>
          <w:szCs w:val="24"/>
        </w:rPr>
        <w:t xml:space="preserve">  (</w:t>
      </w:r>
      <w:proofErr w:type="gramEnd"/>
      <w:r w:rsidRPr="002F56CD">
        <w:rPr>
          <w:rFonts w:ascii="Times New Roman" w:eastAsia="Times New Roman" w:hAnsi="Times New Roman"/>
          <w:sz w:val="24"/>
          <w:szCs w:val="24"/>
        </w:rPr>
        <w:t>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2F56CD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Pr="002F56C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2F56C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2F56C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2F56CD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2F56C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2F56C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2F56CD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2F56CD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2F56CD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2F56C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2F56CD">
        <w:rPr>
          <w:rFonts w:ascii="Times New Roman" w:hAnsi="Times New Roman" w:cs="Times New Roman"/>
          <w:sz w:val="24"/>
          <w:szCs w:val="24"/>
        </w:rPr>
        <w:t>:</w:t>
      </w:r>
    </w:p>
    <w:p w14:paraId="3D8E739D" w14:textId="77777777" w:rsidR="00B40E17" w:rsidRPr="002F56CD" w:rsidRDefault="00B40E17" w:rsidP="00B40E17">
      <w:pPr>
        <w:pStyle w:val="af4"/>
      </w:pPr>
      <w:r w:rsidRPr="00B971F3">
        <w:rPr>
          <w:sz w:val="24"/>
          <w:szCs w:val="24"/>
        </w:rPr>
        <w:t>Продавец</w:t>
      </w:r>
      <w:r w:rsidRPr="002F56C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2F56CD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2F56C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2F56C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2F56C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2F56C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2F56C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2F56C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2F56C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2F56CD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2F56C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r w:rsidRPr="002F56CD">
        <w:rPr>
          <w:sz w:val="24"/>
          <w:szCs w:val="24"/>
        </w:rPr>
        <w:t xml:space="preserve">  _</w:t>
      </w:r>
      <w:proofErr w:type="gramEnd"/>
      <w:r w:rsidRPr="002F56CD">
        <w:rPr>
          <w:sz w:val="24"/>
          <w:szCs w:val="24"/>
        </w:rPr>
        <w:t>_____</w:t>
      </w:r>
      <w:proofErr w:type="gramStart"/>
      <w:r w:rsidRPr="002F56CD">
        <w:rPr>
          <w:sz w:val="24"/>
          <w:szCs w:val="24"/>
        </w:rPr>
        <w:t>_  №</w:t>
      </w:r>
      <w:proofErr w:type="gramEnd"/>
      <w:r w:rsidRPr="002F56CD">
        <w:rPr>
          <w:sz w:val="24"/>
          <w:szCs w:val="24"/>
        </w:rPr>
        <w:t xml:space="preserve">  ______</w:t>
      </w:r>
      <w:proofErr w:type="gramStart"/>
      <w:r w:rsidRPr="002F56CD">
        <w:rPr>
          <w:sz w:val="24"/>
          <w:szCs w:val="24"/>
        </w:rPr>
        <w:t xml:space="preserve">_  </w:t>
      </w:r>
      <w:r w:rsidRPr="00B971F3">
        <w:rPr>
          <w:sz w:val="24"/>
          <w:szCs w:val="24"/>
        </w:rPr>
        <w:t>недвижимое</w:t>
      </w:r>
      <w:proofErr w:type="gramEnd"/>
      <w:r w:rsidRPr="002F56C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2F56CD">
        <w:rPr>
          <w:sz w:val="24"/>
          <w:szCs w:val="24"/>
        </w:rPr>
        <w:t xml:space="preserve">: </w:t>
      </w:r>
    </w:p>
    <w:p w14:paraId="1CF61E83" w14:textId="77777777" w:rsidR="00B40E17" w:rsidRPr="002F56CD" w:rsidRDefault="00B40E17" w:rsidP="00B40E17">
      <w:pPr>
        <w:pStyle w:val="af4"/>
        <w:rPr>
          <w:sz w:val="24"/>
          <w:szCs w:val="24"/>
        </w:rPr>
      </w:pPr>
      <w:r w:rsidRPr="002F56CD">
        <w:rPr>
          <w:sz w:val="24"/>
          <w:szCs w:val="24"/>
        </w:rPr>
        <w:t xml:space="preserve">- </w:t>
      </w:r>
      <w:r w:rsidRPr="00306D6E">
        <w:rPr>
          <w:sz w:val="24"/>
          <w:szCs w:val="24"/>
        </w:rPr>
        <w:t>Помещение</w:t>
      </w:r>
      <w:r w:rsidRPr="002F56CD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назначение</w:t>
      </w:r>
      <w:r w:rsidRPr="002F56CD">
        <w:rPr>
          <w:sz w:val="24"/>
          <w:szCs w:val="24"/>
        </w:rPr>
        <w:t xml:space="preserve">: </w:t>
      </w:r>
      <w:r w:rsidRPr="002F56CD">
        <w:rPr>
          <w:noProof/>
          <w:sz w:val="24"/>
          <w:szCs w:val="24"/>
        </w:rPr>
        <w:t>Помещения</w:t>
      </w:r>
      <w:r w:rsidRPr="002F56CD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2F56CD">
        <w:rPr>
          <w:sz w:val="24"/>
          <w:szCs w:val="24"/>
        </w:rPr>
        <w:t xml:space="preserve">: </w:t>
      </w:r>
      <w:r w:rsidRPr="002F56CD">
        <w:rPr>
          <w:noProof/>
          <w:sz w:val="24"/>
          <w:szCs w:val="24"/>
        </w:rPr>
        <w:t>Нежилые помещения</w:t>
      </w:r>
      <w:r w:rsidRPr="002F56CD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2F56CD">
        <w:rPr>
          <w:sz w:val="24"/>
          <w:szCs w:val="24"/>
        </w:rPr>
        <w:t xml:space="preserve">: 191.5 </w:t>
      </w:r>
      <w:proofErr w:type="gramStart"/>
      <w:r w:rsidRPr="00306D6E">
        <w:rPr>
          <w:sz w:val="24"/>
          <w:szCs w:val="24"/>
        </w:rPr>
        <w:t>кв</w:t>
      </w:r>
      <w:r w:rsidRPr="002F56CD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2F56CD">
        <w:rPr>
          <w:sz w:val="24"/>
          <w:szCs w:val="24"/>
        </w:rPr>
        <w:t>. ,</w:t>
      </w:r>
      <w:proofErr w:type="gramEnd"/>
      <w:r w:rsidRPr="002F56CD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адрес</w:t>
      </w:r>
      <w:r w:rsidRPr="002F56CD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2F56CD">
        <w:rPr>
          <w:sz w:val="24"/>
          <w:szCs w:val="24"/>
        </w:rPr>
        <w:t xml:space="preserve">: Московская область, г. Балашиха, </w:t>
      </w:r>
      <w:proofErr w:type="spellStart"/>
      <w:r w:rsidRPr="002F56CD">
        <w:rPr>
          <w:sz w:val="24"/>
          <w:szCs w:val="24"/>
        </w:rPr>
        <w:t>мкр</w:t>
      </w:r>
      <w:proofErr w:type="spellEnd"/>
      <w:r w:rsidRPr="002F56CD">
        <w:rPr>
          <w:sz w:val="24"/>
          <w:szCs w:val="24"/>
        </w:rPr>
        <w:t xml:space="preserve">. </w:t>
      </w:r>
      <w:r w:rsidRPr="00B40E17">
        <w:rPr>
          <w:sz w:val="24"/>
          <w:szCs w:val="24"/>
        </w:rPr>
        <w:t xml:space="preserve">Купавна, ул. Адмирала Горшкова, д. 17, пом. </w:t>
      </w:r>
      <w:r w:rsidRPr="00306D6E">
        <w:rPr>
          <w:sz w:val="24"/>
          <w:szCs w:val="24"/>
          <w:lang w:val="en-US"/>
        </w:rPr>
        <w:t>I</w:t>
      </w:r>
      <w:r w:rsidRPr="002F56CD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кадастровый</w:t>
      </w:r>
      <w:r w:rsidRPr="002F56CD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2F56CD">
        <w:rPr>
          <w:sz w:val="24"/>
          <w:szCs w:val="24"/>
        </w:rPr>
        <w:t xml:space="preserve">: 50:50:0060801:727, </w:t>
      </w:r>
      <w:r w:rsidRPr="00306D6E">
        <w:rPr>
          <w:sz w:val="24"/>
          <w:szCs w:val="24"/>
        </w:rPr>
        <w:t>находящийся</w:t>
      </w:r>
      <w:r w:rsidRPr="002F56CD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r w:rsidRPr="002F56CD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2F56CD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2F56CD">
        <w:rPr>
          <w:sz w:val="24"/>
          <w:szCs w:val="24"/>
        </w:rPr>
        <w:t>: Городской округ Балашиха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2F56CD">
        <w:rPr>
          <w:sz w:val="24"/>
          <w:szCs w:val="24"/>
        </w:rPr>
        <w:t xml:space="preserve">09.08.2022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2F56CD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2F56CD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2F56CD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2F56CD">
        <w:rPr>
          <w:rFonts w:eastAsia="Calibri"/>
          <w:bCs/>
          <w:sz w:val="24"/>
          <w:szCs w:val="24"/>
        </w:rPr>
        <w:t xml:space="preserve"> № </w:t>
      </w:r>
      <w:r w:rsidRPr="002F56CD">
        <w:rPr>
          <w:sz w:val="24"/>
          <w:szCs w:val="24"/>
        </w:rPr>
        <w:t xml:space="preserve">50:50:0060801:727-50/110/2022-5 </w:t>
      </w:r>
      <w:r w:rsidRPr="002F23FB">
        <w:rPr>
          <w:sz w:val="24"/>
          <w:szCs w:val="24"/>
        </w:rPr>
        <w:t>.</w:t>
      </w:r>
    </w:p>
    <w:p w14:paraId="28FD3E37" w14:textId="77777777" w:rsidR="00B40E17" w:rsidRPr="00B971F3" w:rsidRDefault="00B40E17" w:rsidP="00B40E1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1648876B" w14:textId="77777777" w:rsidR="00B40E17" w:rsidRPr="00B971F3" w:rsidRDefault="00B40E17" w:rsidP="00B40E1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777FD9A0" w14:textId="77777777" w:rsidR="00B40E17" w:rsidRPr="00D34D25" w:rsidRDefault="00B40E17" w:rsidP="00B40E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B40E17" w:rsidRPr="00D34D25" w14:paraId="1E86D9A2" w14:textId="77777777" w:rsidTr="004E5AF9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CD372" w14:textId="77777777" w:rsidR="00B40E17" w:rsidRPr="00D34D25" w:rsidRDefault="00B40E17" w:rsidP="004E5AF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Подписи Сторон</w:t>
            </w:r>
          </w:p>
          <w:p w14:paraId="12D8B43A" w14:textId="77777777" w:rsidR="00B40E17" w:rsidRPr="00D34D25" w:rsidRDefault="00B40E17" w:rsidP="004E5AF9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17" w:rsidRPr="00D34D25" w14:paraId="71A60548" w14:textId="77777777" w:rsidTr="004E5AF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657D70C" w14:textId="77777777" w:rsidR="00B40E17" w:rsidRPr="00D34D25" w:rsidRDefault="00B40E17" w:rsidP="004E5AF9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62E1ADDD" w14:textId="77777777" w:rsidR="00B40E17" w:rsidRPr="00D34D25" w:rsidRDefault="00B40E17" w:rsidP="004E5AF9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6D7F492" w14:textId="77777777" w:rsidR="00B40E17" w:rsidRPr="00D34D25" w:rsidRDefault="00B40E17" w:rsidP="004E5AF9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CE2D21" w14:textId="77777777" w:rsidR="00B40E17" w:rsidRPr="00D34D25" w:rsidRDefault="00B40E17" w:rsidP="004E5AF9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E17" w:rsidRPr="00277A30" w14:paraId="2E0DE752" w14:textId="77777777" w:rsidTr="004E5AF9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9258123" w14:textId="77777777" w:rsidR="00B40E17" w:rsidRPr="009270C0" w:rsidRDefault="00B40E17" w:rsidP="004E5AF9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7ED7D76E" w14:textId="77777777" w:rsidR="00B40E17" w:rsidRPr="00D34D25" w:rsidRDefault="00B40E17" w:rsidP="004E5AF9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9708E3F" w14:textId="77777777" w:rsidR="00B40E17" w:rsidRPr="00FB40BF" w:rsidRDefault="00B40E17" w:rsidP="004E5A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667005DC" w14:textId="77777777" w:rsidR="00B40E17" w:rsidRPr="00A26B3E" w:rsidRDefault="00B40E17" w:rsidP="00B40E17">
      <w:pPr>
        <w:tabs>
          <w:tab w:val="left" w:pos="1620"/>
        </w:tabs>
      </w:pPr>
    </w:p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0F6C" w14:textId="77777777" w:rsidR="0035343D" w:rsidRDefault="0035343D" w:rsidP="00B74B2D">
      <w:r>
        <w:separator/>
      </w:r>
    </w:p>
  </w:endnote>
  <w:endnote w:type="continuationSeparator" w:id="0">
    <w:p w14:paraId="080D3804" w14:textId="77777777" w:rsidR="0035343D" w:rsidRDefault="0035343D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D801" w14:textId="77777777" w:rsidR="0035343D" w:rsidRDefault="0035343D" w:rsidP="00B74B2D">
      <w:r>
        <w:separator/>
      </w:r>
    </w:p>
  </w:footnote>
  <w:footnote w:type="continuationSeparator" w:id="0">
    <w:p w14:paraId="695DCF0E" w14:textId="77777777" w:rsidR="0035343D" w:rsidRDefault="0035343D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160999">
    <w:abstractNumId w:val="1"/>
  </w:num>
  <w:num w:numId="2" w16cid:durableId="602222133">
    <w:abstractNumId w:val="10"/>
  </w:num>
  <w:num w:numId="3" w16cid:durableId="2127700815">
    <w:abstractNumId w:val="2"/>
  </w:num>
  <w:num w:numId="4" w16cid:durableId="358357756">
    <w:abstractNumId w:val="7"/>
  </w:num>
  <w:num w:numId="5" w16cid:durableId="107241387">
    <w:abstractNumId w:val="8"/>
  </w:num>
  <w:num w:numId="6" w16cid:durableId="1060985207">
    <w:abstractNumId w:val="0"/>
  </w:num>
  <w:num w:numId="7" w16cid:durableId="763258455">
    <w:abstractNumId w:val="3"/>
  </w:num>
  <w:num w:numId="8" w16cid:durableId="512110982">
    <w:abstractNumId w:val="12"/>
  </w:num>
  <w:num w:numId="9" w16cid:durableId="1880239011">
    <w:abstractNumId w:val="6"/>
  </w:num>
  <w:num w:numId="10" w16cid:durableId="180629141">
    <w:abstractNumId w:val="9"/>
  </w:num>
  <w:num w:numId="11" w16cid:durableId="1680427285">
    <w:abstractNumId w:val="11"/>
  </w:num>
  <w:num w:numId="12" w16cid:durableId="718745084">
    <w:abstractNumId w:val="4"/>
  </w:num>
  <w:num w:numId="13" w16cid:durableId="119955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343D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77BB5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C0B6D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0E17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styleId="af9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08869-DF51-4D4B-8A53-69747F7A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3275</Words>
  <Characters>18670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3</cp:revision>
  <cp:lastPrinted>2023-09-29T09:57:00Z</cp:lastPrinted>
  <dcterms:created xsi:type="dcterms:W3CDTF">2026-05-29T06:12:00Z</dcterms:created>
  <dcterms:modified xsi:type="dcterms:W3CDTF">2026-05-29T06:18:00Z</dcterms:modified>
</cp:coreProperties>
</file>