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A5BA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BA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A5BA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A5BA8">
        <w:rPr>
          <w:noProof/>
          <w:sz w:val="24"/>
          <w:szCs w:val="24"/>
        </w:rPr>
        <w:t>1575</w:t>
      </w:r>
      <w:r w:rsidR="00102979" w:rsidRPr="007A5B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A5BA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A5BA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A5B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A5B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A5BA8">
        <w:rPr>
          <w:sz w:val="24"/>
          <w:szCs w:val="24"/>
        </w:rPr>
        <w:t xml:space="preserve"> </w:t>
      </w:r>
      <w:r w:rsidR="001964A6" w:rsidRPr="007A5BA8">
        <w:rPr>
          <w:noProof/>
          <w:sz w:val="24"/>
          <w:szCs w:val="24"/>
        </w:rPr>
        <w:t>50:08:0060221:611</w:t>
      </w:r>
      <w:r w:rsidRPr="007A5BA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A5B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A5BA8">
        <w:rPr>
          <w:sz w:val="24"/>
          <w:szCs w:val="24"/>
        </w:rPr>
        <w:t xml:space="preserve"> – «</w:t>
      </w:r>
      <w:r w:rsidR="00597746" w:rsidRPr="007A5BA8">
        <w:rPr>
          <w:noProof/>
          <w:sz w:val="24"/>
          <w:szCs w:val="24"/>
        </w:rPr>
        <w:t>Земли населенных пунктов</w:t>
      </w:r>
      <w:r w:rsidRPr="007A5BA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A5B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A5B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A5BA8">
        <w:rPr>
          <w:sz w:val="24"/>
          <w:szCs w:val="24"/>
        </w:rPr>
        <w:t xml:space="preserve"> – «</w:t>
      </w:r>
      <w:r w:rsidR="003E59E1" w:rsidRPr="007A5BA8">
        <w:rPr>
          <w:noProof/>
          <w:sz w:val="24"/>
          <w:szCs w:val="24"/>
        </w:rPr>
        <w:t>Для индивидуального жилищного строительства</w:t>
      </w:r>
      <w:r w:rsidRPr="007A5BA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A5B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A5B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A5BA8">
        <w:rPr>
          <w:sz w:val="24"/>
          <w:szCs w:val="24"/>
        </w:rPr>
        <w:t xml:space="preserve">: </w:t>
      </w:r>
      <w:r w:rsidR="00D1191C" w:rsidRPr="007A5BA8">
        <w:rPr>
          <w:noProof/>
          <w:sz w:val="24"/>
          <w:szCs w:val="24"/>
        </w:rPr>
        <w:t>Московская область, городской округ Истра, деревня Житянино</w:t>
      </w:r>
      <w:r w:rsidR="00472CAA" w:rsidRPr="007A5BA8">
        <w:rPr>
          <w:sz w:val="24"/>
          <w:szCs w:val="24"/>
        </w:rPr>
        <w:t xml:space="preserve"> </w:t>
      </w:r>
      <w:r w:rsidRPr="007A5BA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A5BA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A5BA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A5BA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1CC31E4B" w14:textId="77777777" w:rsidR="007A5BA8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установленных Распоряжением Министерства от 25.12.2020 № 1610-РМ границах третьего пояса ЗСО источника питьевого и хозяйственно-бытового водоснабжения АО «Крокус Интернешнл»;</w:t>
      </w:r>
    </w:p>
    <w:p w14:paraId="0CC74DE8" w14:textId="27B9C4E4" w:rsidR="007A5BA8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второго пояса ЗСО источников питьевого водоснабжения города Москвы;</w:t>
      </w:r>
    </w:p>
    <w:p w14:paraId="411D5651" w14:textId="2DE38738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приаэродромная территория: полностью расположен: Кубинка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793EA4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A5BA8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</w:t>
      </w:r>
      <w:r w:rsidR="007A5BA8" w:rsidRPr="00594407">
        <w:rPr>
          <w:rFonts w:ascii="Times New Roman" w:hAnsi="Times New Roman" w:cs="Times New Roman"/>
        </w:rPr>
        <w:t>(для физических лиц) </w:t>
      </w:r>
      <w:r w:rsidRPr="00594407">
        <w:rPr>
          <w:rFonts w:ascii="Times New Roman" w:hAnsi="Times New Roman" w:cs="Times New Roman"/>
        </w:rPr>
        <w:t>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с СП 2.1.4.2625-10 «Зоны санитарной охраны источников питьевого водоснабжения г. Москвы», утвержденные постановлением Главного санитарного врача Российской Федерации от 30.04.2010 № 45, с Постановлением Главного государственного санитарного врача РФ от 14 марта 2002 г. N 10 "О введении в действие санитарных правил и норм "Зоны санитарной охраны источников водоснабжения и водопроводов питьевого назначения. СанПиН 2.1.4.1110-02".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8AD3C1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91E655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A5BA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A5B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A5BA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A5BA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BA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319F2B6E" w14:textId="313631C7" w:rsidR="00FB52C4" w:rsidRPr="007A5BA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7A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A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A5B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A5BA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BA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7A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A5BA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A5B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A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A5BA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3AD2587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1575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A5BA8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3212</Words>
  <Characters>18313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2024-11-02T08:07:00Z</dcterms:created>
  <dcterms:modified xsi:type="dcterms:W3CDTF">2024-11-02T08:07:00Z</dcterms:modified>
</cp:coreProperties>
</file>