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600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50:24:0050605:762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Орехово-Зуевский, п Тополиный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бетонная опора ЛЭП, в связи с чем необходимо обеспечить доступ представителей собственника или</w:t>
        <w:br/>
        <w:t xml:space="preserve">представителей организации, осуществляющей эксплуатацию электрических сетей в целях обеспечения безопасности утверждении правил охраны электрических сетей</w:t>
      </w:r>
      <w:proofErr w:type="gramStart"/>
      <w:proofErr w:type="gramEnd"/>
      <w:r w:rsidRPr="00D713D5">
        <w:rPr>
          <w:rFonts w:eastAsia="Times New Roman"/>
          <w:sz w:val="24"/>
          <w:szCs w:val="24"/>
        </w:rPr>
        <w:t>.</w:t>
      </w:r>
      <w:r w:rsidRPr="00D713D5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воздушные линии электропередач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50:24:0050605:762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Орехово-Зуевский, п Тополиный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