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ДОГОВОР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КУПЛИ-ПРОДАЖИ ЗЕМЕЛЬНОГО УЧАСТКА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№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_______ 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a5"/>
        <w:tblW w:w="96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111"/>
        <w:gridCol w:w="5527"/>
      </w:tblGrid>
      <w:tr>
        <w:trPr/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uppressAutoHyphens w:val="true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Московская обл, рп Серебряные Пруды, ул Первомайская, д 11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uppressAutoHyphens w:val="true"/>
              <w:spacing w:before="0" w:after="0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</w:t>
            </w:r>
          </w:p>
        </w:tc>
      </w:tr>
    </w:tbl>
    <w:p>
      <w:pPr>
        <w:pStyle w:val="ConsPlusNonformat"/>
        <w:spacing w:before="0"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</w:r>
    </w:p>
    <w:p>
      <w:pPr>
        <w:pStyle w:val="ConsPlusNonformat"/>
        <w:spacing w:before="0"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АДМИНИСТРАЦИЯ МУНИЦИПАЛЬНОГО ОКРУГА СЕРЕБРЯНЫЕ ПРУДЫ МОСКОВСКОЙ ОБЛАСТИ, ОГРН 1025007732001, ИНН/КПП 5076000240/507601001, </w:t>
      </w:r>
      <w:bookmarkStart w:id="0" w:name="_Hlk179474881"/>
      <w:r>
        <w:rPr>
          <w:rFonts w:cs="Times New Roman" w:ascii="Times New Roman" w:hAnsi="Times New Roman"/>
          <w:sz w:val="24"/>
          <w:szCs w:val="24"/>
        </w:rPr>
        <w:t>в лице</w:t>
      </w:r>
      <w:bookmarkStart w:id="1" w:name="_Hlk103171639"/>
      <w:r>
        <w:rPr>
          <w:rFonts w:cs="Times New Roman" w:ascii="Times New Roman" w:hAnsi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>
        <w:rPr>
          <w:rFonts w:cs="Times New Roman" w:ascii="Times New Roman" w:hAnsi="Times New Roman"/>
          <w:sz w:val="24"/>
          <w:szCs w:val="24"/>
        </w:rPr>
        <w:t>«Продавец</w:t>
      </w:r>
      <w:bookmarkEnd w:id="0"/>
      <w:r>
        <w:rPr>
          <w:rFonts w:cs="Times New Roman" w:ascii="Times New Roman" w:hAnsi="Times New Roman"/>
          <w:sz w:val="24"/>
          <w:szCs w:val="24"/>
        </w:rPr>
        <w:t xml:space="preserve">», с одной стороны, и </w:t>
      </w:r>
    </w:p>
    <w:p>
      <w:pPr>
        <w:pStyle w:val="ConsPlusNonformat"/>
        <w:spacing w:lineRule="auto" w:line="27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>
      <w:pPr>
        <w:pStyle w:val="ConsPlusNonformat"/>
        <w:spacing w:before="0"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дальнейшем именуемый «Покупатель», с другой стороны, на основании  заключили настоящий договор (далее – Договор) о нижеследующем:</w:t>
      </w:r>
    </w:p>
    <w:p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1. Предмет договора</w:t>
      </w:r>
    </w:p>
    <w:p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1.1. ПРОДАВЕЦ продает, а ПОКУПАТЕЛЬ приобретает на условиях настоящего Договора </w:t>
      </w:r>
      <w:r>
        <w:rPr>
          <w:b/>
          <w:bCs/>
          <w:sz w:val="24"/>
          <w:szCs w:val="24"/>
        </w:rPr>
        <w:t xml:space="preserve">земельный участок </w:t>
      </w:r>
      <w:r>
        <w:rPr>
          <w:sz w:val="24"/>
          <w:szCs w:val="24"/>
        </w:rPr>
        <w:t>из категории земель: «Земли сельскохозяйственного назначения», площадью 800 кв.м., с кадастровым номером: 50:39:0030205:73  расположенного по адресу: Местоположение установлено относительно ориентира, расположенного в границах участка. Почтовый адрес ориентира: обл. Московская, р-н Серебряно-Прудский, с/о Узуновск</w:t>
      </w:r>
      <w:r>
        <w:rPr>
          <w:sz w:val="24"/>
          <w:szCs w:val="24"/>
        </w:rPr>
        <w:t>ий</w:t>
      </w:r>
      <w:r>
        <w:rPr>
          <w:sz w:val="24"/>
          <w:szCs w:val="24"/>
        </w:rPr>
        <w:t>, снт Яковлевск</w:t>
      </w:r>
      <w:r>
        <w:rPr>
          <w:sz w:val="24"/>
          <w:szCs w:val="24"/>
        </w:rPr>
        <w:t>ое</w:t>
      </w:r>
      <w:r>
        <w:rPr>
          <w:sz w:val="24"/>
          <w:szCs w:val="24"/>
        </w:rPr>
        <w:t xml:space="preserve">, уч-к 129, вид разрешенного использования - «Ведение садоводства», находящийся </w:t>
      </w:r>
      <w:bookmarkStart w:id="2" w:name="_Hlk120200658"/>
      <w:r>
        <w:rPr>
          <w:rFonts w:eastAsia="Times New Roman"/>
          <w:sz w:val="24"/>
          <w:szCs w:val="24"/>
        </w:rPr>
        <w:t>в муниципальной собственности</w:t>
      </w:r>
      <w:bookmarkEnd w:id="2"/>
      <w:r>
        <w:rPr>
          <w:sz w:val="24"/>
          <w:szCs w:val="24"/>
        </w:rPr>
        <w:t xml:space="preserve"> (государственная регистрация права №</w:t>
      </w:r>
      <w:bookmarkStart w:id="3" w:name="_Hlk120203184"/>
      <w:r>
        <w:rPr>
          <w:sz w:val="24"/>
          <w:szCs w:val="24"/>
        </w:rPr>
        <w:t xml:space="preserve">  50:39:0030205:73-50/001/2018-1  от  15.10.2018 )</w:t>
      </w:r>
      <w:bookmarkEnd w:id="3"/>
      <w:r>
        <w:rPr>
          <w:sz w:val="24"/>
          <w:szCs w:val="24"/>
        </w:rPr>
        <w:t xml:space="preserve"> (далее – Участок).</w:t>
      </w:r>
    </w:p>
    <w:p>
      <w:pPr>
        <w:pStyle w:val="NoSpacing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 xml:space="preserve">1.2. Основанием для заключения настоящего Договора является </w:t>
      </w:r>
      <w:r>
        <w:rPr>
          <w:rFonts w:eastAsia="Times New Roman"/>
          <w:sz w:val="24"/>
          <w:szCs w:val="24"/>
        </w:rPr>
        <w:t>.</w:t>
      </w:r>
      <w:bookmarkStart w:id="4" w:name="_Hlk165888308"/>
    </w:p>
    <w:p>
      <w:pPr>
        <w:pStyle w:val="NoSpacing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1.3. На </w:t>
      </w:r>
      <w:r>
        <w:rPr>
          <w:sz w:val="24"/>
          <w:szCs w:val="24"/>
        </w:rPr>
        <w:t>Участке отсутствуют объекты капитального строительства.</w:t>
      </w:r>
      <w:bookmarkEnd w:id="4"/>
    </w:p>
    <w:p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1.4. Сведения о правах третьих лиц на Участок у Продавца отсутствуют.</w:t>
      </w:r>
    </w:p>
    <w:p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1.5. </w:t>
      </w:r>
      <w:bookmarkStart w:id="5" w:name="_Hlk120621580"/>
      <w:r>
        <w:rPr>
          <w:sz w:val="24"/>
          <w:szCs w:val="24"/>
        </w:rPr>
        <w:t>Ограничений в использовании Участка нет</w:t>
      </w:r>
      <w:bookmarkEnd w:id="5"/>
      <w:r>
        <w:rPr>
          <w:sz w:val="24"/>
          <w:szCs w:val="24"/>
        </w:rPr>
        <w:t>, сведений о правах третьих лиц на него у Продавца не имеется.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1.6. Продавец продает, а Покупатель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>
      <w:pPr>
        <w:pStyle w:val="NoSpacing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2.</w:t>
      </w:r>
      <w:r>
        <w:rPr>
          <w:rFonts w:cs="Times New Roman" w:ascii="Times New Roman" w:hAnsi="Times New Roman"/>
          <w:b/>
          <w:sz w:val="24"/>
          <w:szCs w:val="24"/>
          <w:lang w:val="en-US"/>
        </w:rPr>
        <w:t> </w:t>
      </w:r>
      <w:r>
        <w:rPr>
          <w:rFonts w:cs="Times New Roman" w:ascii="Times New Roman" w:hAnsi="Times New Roman"/>
          <w:b/>
          <w:sz w:val="24"/>
          <w:szCs w:val="24"/>
        </w:rPr>
        <w:t>Цена договора и порядок расчетов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2.1. Цена Участка установлена в соответствии с  и составляет _____________________ руб. 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>
      <w:pPr>
        <w:pStyle w:val="21"/>
        <w:ind w:firstLine="709"/>
        <w:rPr>
          <w:i/>
          <w:i/>
          <w:iCs/>
          <w:sz w:val="24"/>
          <w:szCs w:val="24"/>
          <w:lang w:val="ru-RU"/>
        </w:rPr>
      </w:pPr>
      <w:r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03100643000000014800, КС 40102810845370000004, Наименование банка ОКЦ № 1 ГУ Банка России по ЦФО г. Москва, БИК 004525987, Получатель: Управление Федерального казначейства по Московской области (АДМИНИСТРАЦИЯ МУНИЦИПАЛЬНОГО ОКРУГА СЕРЕБРЯНЫЕ ПРУДЫ МОСКОВСКОЙ ОБЛАСТИ), ИНН 5076000240, КПП 507601001, ОКТМО 46572000, КБК ____________, КБК для оплаты пени _______________..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>
      <w:pPr>
        <w:pStyle w:val="21"/>
        <w:ind w:firstLine="709"/>
        <w:rPr>
          <w:i/>
          <w:i/>
          <w:iCs/>
          <w:sz w:val="24"/>
          <w:szCs w:val="24"/>
          <w:lang w:val="ru-RU"/>
        </w:rPr>
      </w:pPr>
      <w:r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2.2. 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2.3. 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03100643000000014800, КС 40102810845370000004, Наименование банка ОКЦ № 1 ГУ Банка России по ЦФО г. Москва, БИК 004525987, Получатель: Управление Федерального казначейства по Московской области (АДМИНИСТРАЦИЯ МУНИЦИПАЛЬНОГО ОКРУГА СЕРЕБРЯНЫЕ ПРУДЫ МОСКОВСКОЙ ОБЛАСТИ), ИНН 5076000240, КПП 507601001, ОКТМО 46572000, КБК ____________, КБК для оплаты пени _______________..</w:t>
      </w:r>
    </w:p>
    <w:p>
      <w:pPr>
        <w:pStyle w:val="21"/>
        <w:ind w:firstLine="709"/>
        <w:rPr>
          <w:sz w:val="24"/>
          <w:szCs w:val="22"/>
          <w:lang w:val="ru-RU"/>
        </w:rPr>
      </w:pPr>
      <w:r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2.4. Датой оплаты Участка считается дата поступления денежных средств в размере, указанном в п. 2.1. на платежные реквизиты Продавца, указанные в пункте 2.3 Договора. 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p>
      <w:pPr>
        <w:pStyle w:val="Normal"/>
        <w:suppressAutoHyphens w:val="true"/>
        <w:jc w:val="center"/>
        <w:rPr>
          <w:rFonts w:ascii="Times New Roman" w:hAnsi="Times New Roman" w:eastAsia="Times New Roman" w:cs="Times New Roman"/>
          <w:b/>
          <w:bCs/>
          <w:lang w:eastAsia="zh-CN"/>
        </w:rPr>
      </w:pPr>
      <w:r>
        <w:rPr>
          <w:rFonts w:eastAsia="Times New Roman" w:cs="Times New Roman" w:ascii="Times New Roman" w:hAnsi="Times New Roman"/>
          <w:b/>
          <w:bCs/>
          <w:lang w:eastAsia="zh-CN"/>
        </w:rPr>
        <w:t xml:space="preserve">3. Залог на Участок </w:t>
      </w:r>
      <w:r>
        <w:rPr>
          <w:rFonts w:cs="Times New Roman" w:ascii="Times New Roman" w:hAnsi="Times New Roman"/>
          <w:i/>
          <w:iCs/>
          <w:shd w:fill="FFFFFF" w:val="clear"/>
        </w:rPr>
        <w:t>(в случае привлечения заемных денежных средств (кредита))</w:t>
      </w:r>
    </w:p>
    <w:p>
      <w:pPr>
        <w:pStyle w:val="Normal"/>
        <w:suppressAutoHyphens w:val="true"/>
        <w:ind w:firstLine="709"/>
        <w:rPr>
          <w:rFonts w:ascii="Times New Roman" w:hAnsi="Times New Roman" w:cs="Times New Roman"/>
          <w:lang w:eastAsia="zh-CN"/>
        </w:rPr>
      </w:pPr>
      <w:r>
        <w:rPr>
          <w:rFonts w:cs="Times New Roman" w:ascii="Times New Roman" w:hAnsi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Участка.</w:t>
      </w:r>
    </w:p>
    <w:p>
      <w:pPr>
        <w:pStyle w:val="Normal"/>
        <w:suppressAutoHyphens w:val="true"/>
        <w:ind w:firstLine="709"/>
        <w:rPr>
          <w:rFonts w:ascii="Times New Roman" w:hAnsi="Times New Roman" w:cs="Times New Roman"/>
          <w:lang w:eastAsia="zh-CN"/>
        </w:rPr>
      </w:pPr>
      <w:r>
        <w:rPr>
          <w:rFonts w:cs="Times New Roman" w:ascii="Times New Roman" w:hAnsi="Times New Roman"/>
          <w:lang w:eastAsia="zh-CN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4. Передача Участка и переход права собственности на Участок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4.2 Участок считается переданным Продавцом и принятым Покупателем с даты подписания акта приема-передачи.</w:t>
      </w:r>
    </w:p>
    <w:p>
      <w:pPr>
        <w:pStyle w:val="21"/>
        <w:rPr>
          <w:szCs w:val="22"/>
          <w:lang w:val="ru-RU"/>
        </w:rPr>
      </w:pPr>
      <w:r>
        <w:rPr>
          <w:szCs w:val="22"/>
          <w:lang w:val="ru-RU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5. Обязанности Сторон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5.1 Покупатель обязуется: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5.1.1. Полностью оплатить цену Участка в размере, порядка и сроки, установленные разделом 2 настоящего Договора. 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5.1.4.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5.2. Продавец обязуется: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5.2.1. В течение 7 (семи) календарных дней с даты государственной регистрации права предоставить Покупателю сведения о переходе права собственности.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>
      <w:pPr>
        <w:pStyle w:val="Normal"/>
        <w:textAlignment w:val="baseline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6. Ответственность Сторон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6.2. В случае нарушения,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 ставки рефинансирования 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6.3. Уплата неустойки не освобождает Покупателя от исполнения обязательств по настоящему Договору.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7. Рассмотрение споров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 расторжения.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7.2.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 Покупателем цены Участка. </w:t>
      </w:r>
    </w:p>
    <w:p>
      <w:pPr>
        <w:pStyle w:val="21"/>
        <w:spacing w:before="0" w:after="0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>
      <w:pPr>
        <w:pStyle w:val="Normal"/>
        <w:ind w:firstLine="480"/>
        <w:textAlignment w:val="baseline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8. Особые условия Договора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  <w:bookmarkStart w:id="6" w:name="_Hlk229142450"/>
      <w:bookmarkStart w:id="7" w:name="_Hlk229142450"/>
      <w:bookmarkEnd w:id="7"/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8.1. Настоящий Договор подписан усиленными квалифицированными </w:t>
      </w:r>
      <w:r>
        <w:fldChar w:fldCharType="begin"/>
      </w:r>
      <w:r>
        <w:rPr>
          <w:rStyle w:val="Hyperlink"/>
          <w:sz w:val="24"/>
          <w:szCs w:val="24"/>
          <w:lang w:val="ru-RU"/>
        </w:rPr>
        <w:instrText xml:space="preserve"> HYPERLINK "https://base.garant.ru/12184522/741609f9002bd54a24e5c49cb5af953b/" \l "block_21"</w:instrText>
      </w:r>
      <w:r>
        <w:rPr>
          <w:rStyle w:val="Hyperlink"/>
          <w:sz w:val="24"/>
          <w:szCs w:val="24"/>
          <w:lang w:val="ru-RU"/>
        </w:rPr>
        <w:fldChar w:fldCharType="separate"/>
      </w:r>
      <w:r>
        <w:rPr>
          <w:rStyle w:val="Hyperlink"/>
          <w:sz w:val="24"/>
          <w:szCs w:val="24"/>
          <w:lang w:val="ru-RU"/>
        </w:rPr>
        <w:t>электронными подписями</w:t>
      </w:r>
      <w:r>
        <w:rPr>
          <w:rStyle w:val="Hyperlink"/>
          <w:sz w:val="24"/>
          <w:szCs w:val="24"/>
          <w:lang w:val="ru-RU"/>
        </w:rPr>
        <w:fldChar w:fldCharType="end"/>
      </w:r>
      <w:r>
        <w:rPr>
          <w:sz w:val="24"/>
          <w:szCs w:val="24"/>
          <w:lang w:val="ru-RU"/>
        </w:rPr>
        <w:t xml:space="preserve"> Сторон в электронной форме.</w:t>
      </w:r>
    </w:p>
    <w:p>
      <w:pPr>
        <w:pStyle w:val="Normal"/>
        <w:textAlignment w:val="baseline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9. Приложения к Договору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Приложение № 1 –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10. Адреса, реквизиты и подписи Сторон</w:t>
      </w:r>
    </w:p>
    <w:tbl>
      <w:tblPr>
        <w:tblStyle w:val="a5"/>
        <w:tblW w:w="963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179"/>
        <w:gridCol w:w="6458"/>
      </w:tblGrid>
      <w:tr>
        <w:trPr/>
        <w:tc>
          <w:tcPr>
            <w:tcW w:w="96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Продавец</w:t>
            </w:r>
            <w:r>
              <w:rPr>
                <w:kern w:val="0"/>
                <w:sz w:val="24"/>
                <w:szCs w:val="24"/>
                <w:lang w:bidi="ar-SA"/>
              </w:rPr>
              <w:t>:</w:t>
            </w:r>
          </w:p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-SA"/>
              </w:rPr>
              <w:t>АДМИНИСТРАЦИЯ МУНИЦИПАЛЬНОГО ОКРУГА СЕРЕБРЯНЫЕ ПРУДЫ МОСКОВСКОЙ ОБЛАСТИ</w:t>
            </w:r>
          </w:p>
        </w:tc>
      </w:tr>
      <w:tr>
        <w:trPr/>
        <w:tc>
          <w:tcPr>
            <w:tcW w:w="96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Место нахождения: Московская обл, рп Серебряные Пруды, ул Первомайская, д 11</w:t>
            </w:r>
          </w:p>
        </w:tc>
      </w:tr>
      <w:tr>
        <w:trPr/>
        <w:tc>
          <w:tcPr>
            <w:tcW w:w="96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Почтовый адрес: Московская обл, рп Серебряные Пруды, ул Первомайская, д 11</w:t>
            </w:r>
          </w:p>
        </w:tc>
      </w:tr>
      <w:tr>
        <w:trPr/>
        <w:tc>
          <w:tcPr>
            <w:tcW w:w="96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ИНН/КПП 5076000240, /507601001,</w:t>
            </w:r>
          </w:p>
          <w:p>
            <w:pPr>
              <w:pStyle w:val="ConsPlusNonformat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b/>
                <w:bCs/>
                <w:i/>
                <w:i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kern w:val="0"/>
                <w:sz w:val="24"/>
                <w:szCs w:val="24"/>
                <w:lang w:val="ru-RU" w:eastAsia="en-US" w:bidi="ar-SA"/>
              </w:rPr>
              <w:t>Банковские реквизиты:</w:t>
            </w:r>
          </w:p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Р/С 03100643000000014800, КС  40102810845370000004, в  ОКЦ № 1 ГУ Банка России по ЦФО г. Москва, БИК 004525987, ИНН 5076000240, КПП 507601001, ОКТМО 46572000, КБК ____________, КБК для оплаты пени _______________.</w:t>
            </w:r>
          </w:p>
          <w:p>
            <w:pPr>
              <w:pStyle w:val="ConsPlusNonformat"/>
              <w:suppressAutoHyphens w:val="true"/>
              <w:spacing w:before="0" w:after="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</w:tr>
      <w:tr>
        <w:trPr/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21"/>
              <w:widowControl/>
              <w:spacing w:before="0" w:after="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64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uppressAutoHyphens w:val="true"/>
              <w:spacing w:before="0" w:after="0"/>
              <w:jc w:val="both"/>
              <w:rPr>
                <w:rFonts w:ascii="Times New Roman" w:hAnsi="Times New Roman" w:eastAsia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__________</w:t>
            </w: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(Ф.И.О)</w:t>
            </w:r>
          </w:p>
          <w:p>
            <w:pPr>
              <w:pStyle w:val="21"/>
              <w:widowControl/>
              <w:spacing w:before="0" w:after="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</w:tr>
    </w:tbl>
    <w:p>
      <w:pPr>
        <w:pStyle w:val="21"/>
        <w:spacing w:before="0" w:after="0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5"/>
        <w:tblW w:w="964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963"/>
        <w:gridCol w:w="5682"/>
      </w:tblGrid>
      <w:tr>
        <w:trPr/>
        <w:tc>
          <w:tcPr>
            <w:tcW w:w="96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uppressAutoHyphens w:val="true"/>
              <w:spacing w:before="0"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Покупатель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:</w:t>
            </w:r>
          </w:p>
          <w:p>
            <w:pPr>
              <w:pStyle w:val="ConsPlusNonformat"/>
              <w:suppressAutoHyphens w:val="tru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_____________________ (ФИО)</w:t>
            </w:r>
          </w:p>
          <w:p>
            <w:pPr>
              <w:pStyle w:val="ConsPlusNonformat"/>
              <w:suppressAutoHyphens w:val="tru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дата рождения _____________г.,</w:t>
            </w:r>
          </w:p>
          <w:p>
            <w:pPr>
              <w:pStyle w:val="ConsPlusNonformat"/>
              <w:suppressAutoHyphens w:val="tru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адрес регистрации – _____________________,</w:t>
            </w:r>
          </w:p>
          <w:p>
            <w:pPr>
              <w:pStyle w:val="ConsPlusNonformat"/>
              <w:suppressAutoHyphens w:val="tru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паспорт: ___________ выдан _______________________, код подразделения ___________________; ИНН ________________,</w:t>
            </w:r>
          </w:p>
          <w:p>
            <w:pPr>
              <w:pStyle w:val="ConsPlusNonformat"/>
              <w:suppressAutoHyphens w:val="tru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u w:val="single"/>
              </w:rPr>
            </w:r>
          </w:p>
          <w:p>
            <w:pPr>
              <w:pStyle w:val="ConsPlusNonformat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6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_____________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(Ф.И.О)</w:t>
            </w:r>
          </w:p>
          <w:p>
            <w:pPr>
              <w:pStyle w:val="ConsPlusNonformat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sectPr>
          <w:type w:val="nextPage"/>
          <w:pgSz w:w="11906" w:h="16838"/>
          <w:pgMar w:left="1701" w:right="567" w:gutter="0" w:header="0" w:top="1134" w:footer="0" w:bottom="1134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АКТ ПРИЕМА-ПЕРЕДАЧИ</w:t>
      </w:r>
    </w:p>
    <w:p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tbl>
      <w:tblPr>
        <w:tblStyle w:val="a5"/>
        <w:tblW w:w="96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111"/>
        <w:gridCol w:w="5527"/>
      </w:tblGrid>
      <w:tr>
        <w:trPr/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uppressAutoHyphens w:val="true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Московская обл, рп Серебряные Пруды, ул Первомайская, д 11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uppressAutoHyphens w:val="true"/>
              <w:spacing w:before="0" w:after="0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</w:t>
            </w:r>
          </w:p>
        </w:tc>
      </w:tr>
    </w:tbl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</w:r>
    </w:p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Мы, нижеподписавшиеся,</w:t>
      </w:r>
    </w:p>
    <w:p>
      <w:pPr>
        <w:pStyle w:val="ConsPlusNonformat"/>
        <w:spacing w:before="0"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АДМИНИСТРАЦИЯ МУНИЦИПАЛЬНОГО ОКРУГА СЕРЕБРЯНЫЕ ПРУДЫ МОСКОВСКОЙ ОБЛАСТИ, ОГРН 1025007732001, ИНН/КПП 5076000240/507601001,  в лице ______, действующ__ на основании ______, в дальнейшем именуем__ «Продавец», с одной стороны, и </w:t>
      </w:r>
    </w:p>
    <w:p>
      <w:pPr>
        <w:pStyle w:val="ConsPlusNonformat"/>
        <w:spacing w:lineRule="auto" w:line="27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дальнейшем именуемый «Покупатель», с другой стороны, составили настоящий акт приема-передачи к Договору купли-продажи земельного участка от  _______  №   _______  о нижеследующем: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1. Продавец передал Покупателю, а Покупатель принял от Продавца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земельный участок </w:t>
      </w:r>
      <w:r>
        <w:rPr>
          <w:rFonts w:cs="Times New Roman" w:ascii="Times New Roman" w:hAnsi="Times New Roman"/>
          <w:sz w:val="24"/>
          <w:szCs w:val="24"/>
        </w:rPr>
        <w:t>из категории земель: «Земли сельскохозяйственного назначения», площадью 800 кв.м., с кадастровым номером 50:39:0030205:73, вид разрешенного использования –  «Ведение садоводства», расположенный по адресу: Местоположение установлено относительно ориентира, расположенного в границах участка. Почтовый адрес ориентира: обл. Московская, р-н Серебряно-Прудский, с/о Узуновский, снт Яковлевское, уч-к 129, полностью в таком виде, в котором он был на момент подписания договора купли-продажи.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 Претензий у Покупателя к Продавцу по передаваемому земельному участку не имеется. 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3. Настоящий Акт подписан усиленными квалифицированными </w:t>
      </w:r>
      <w:r>
        <w:fldChar w:fldCharType="begin"/>
      </w:r>
      <w:r>
        <w:rPr>
          <w:rStyle w:val="Hyperlink"/>
          <w:sz w:val="24"/>
          <w:szCs w:val="24"/>
          <w:rFonts w:cs="Times New Roman" w:ascii="Times New Roman" w:hAnsi="Times New Roman"/>
        </w:rPr>
        <w:instrText xml:space="preserve"> HYPERLINK "https://base.garant.ru/12184522/741609f9002bd54a24e5c49cb5af953b/" \l "block_21"</w:instrText>
      </w:r>
      <w:r>
        <w:rPr>
          <w:rStyle w:val="Hyperlink"/>
          <w:sz w:val="24"/>
          <w:szCs w:val="24"/>
          <w:rFonts w:cs="Times New Roman" w:ascii="Times New Roman" w:hAnsi="Times New Roman"/>
        </w:rPr>
        <w:fldChar w:fldCharType="separate"/>
      </w:r>
      <w:r>
        <w:rPr>
          <w:rStyle w:val="Hyperlink"/>
          <w:rFonts w:cs="Times New Roman" w:ascii="Times New Roman" w:hAnsi="Times New Roman"/>
          <w:sz w:val="24"/>
          <w:szCs w:val="24"/>
        </w:rPr>
        <w:t>электронными подписями</w:t>
      </w:r>
      <w:r>
        <w:rPr>
          <w:rStyle w:val="Hyperlink"/>
          <w:sz w:val="24"/>
          <w:szCs w:val="24"/>
          <w:rFonts w:cs="Times New Roman" w:ascii="Times New Roman" w:hAnsi="Times New Roman"/>
        </w:rPr>
        <w:fldChar w:fldCharType="end"/>
      </w:r>
      <w:r>
        <w:rPr>
          <w:rFonts w:cs="Times New Roman" w:ascii="Times New Roman" w:hAnsi="Times New Roman"/>
          <w:sz w:val="24"/>
          <w:szCs w:val="24"/>
        </w:rPr>
        <w:t xml:space="preserve"> Сторон в электронной форме.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a5"/>
        <w:tblW w:w="495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770"/>
        <w:gridCol w:w="4770"/>
      </w:tblGrid>
      <w:tr>
        <w:trPr>
          <w:cantSplit w:val="true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keepNext w:val="true"/>
              <w:keepLines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Подписи Сторон</w:t>
            </w:r>
          </w:p>
          <w:p>
            <w:pPr>
              <w:pStyle w:val="ConsPlusNonformat"/>
              <w:keepNext w:val="true"/>
              <w:keepLines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keepNext w:val="true"/>
              <w:keepLines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Продавец:</w:t>
            </w:r>
          </w:p>
          <w:p>
            <w:pPr>
              <w:pStyle w:val="ConsPlusNonformat"/>
              <w:keepNext w:val="true"/>
              <w:keepLines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keepNext w:val="true"/>
              <w:keepLines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Покупатель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:</w:t>
            </w:r>
          </w:p>
          <w:p>
            <w:pPr>
              <w:pStyle w:val="ConsPlusNonformat"/>
              <w:keepNext w:val="true"/>
              <w:keepLines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keepNext w:val="true"/>
              <w:keepLines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__________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(Ф.И.О)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__________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(Ф.И.О)</w:t>
            </w:r>
          </w:p>
        </w:tc>
      </w:tr>
    </w:tbl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 Unicode MS">
    <w:charset w:val="01"/>
    <w:family w:val="swiss"/>
    <w:pitch w:val="default"/>
  </w:font>
  <w:font w:name="Cambria">
    <w:charset w:val="01"/>
    <w:family w:val="swiss"/>
    <w:pitch w:val="default"/>
  </w:font>
  <w:font w:name="Tahoma">
    <w:charset w:val="01"/>
    <w:family w:val="swiss"/>
    <w:pitch w:val="default"/>
  </w:font>
  <w:font w:name="Courier New">
    <w:charset w:val="01"/>
    <w:family w:val="swiss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 Unicode MS" w:hAnsi="Arial Unicode MS" w:eastAsia="Arial Unicode MS" w:cs="Arial Unicode MS"/>
        <w:sz w:val="24"/>
        <w:szCs w:val="24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503bc"/>
    <w:pPr>
      <w:widowControl/>
      <w:suppressAutoHyphens w:val="true"/>
      <w:bidi w:val="0"/>
      <w:spacing w:before="0" w:after="0"/>
      <w:jc w:val="both"/>
    </w:pPr>
    <w:rPr>
      <w:rFonts w:ascii="Arial Unicode MS" w:hAnsi="Arial Unicode MS" w:eastAsia="Arial Unicode MS" w:cs="Arial Unicode MS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uiPriority w:val="9"/>
    <w:qFormat/>
    <w:rsid w:val="00285b63"/>
    <w:pPr>
      <w:keepNext w:val="true"/>
      <w:keepLines/>
      <w:widowControl/>
      <w:suppressAutoHyphens w:val="true"/>
      <w:bidi w:val="0"/>
      <w:spacing w:before="480" w:after="0"/>
      <w:jc w:val="both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themeColor="accent1" w:themeShade="bf" w:val="365F91"/>
      <w:kern w:val="0"/>
      <w:sz w:val="28"/>
      <w:szCs w:val="28"/>
      <w:lang w:val="ru-RU" w:eastAsia="ru-RU" w:bidi="ar-SA"/>
    </w:rPr>
  </w:style>
  <w:style w:type="paragraph" w:styleId="Heading2">
    <w:name w:val="heading 2"/>
    <w:uiPriority w:val="9"/>
    <w:unhideWhenUsed/>
    <w:qFormat/>
    <w:rsid w:val="00285b63"/>
    <w:pPr>
      <w:keepNext w:val="true"/>
      <w:keepLines/>
      <w:widowControl/>
      <w:suppressAutoHyphens w:val="true"/>
      <w:bidi w:val="0"/>
      <w:spacing w:before="200" w:after="0"/>
      <w:jc w:val="both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kern w:val="0"/>
      <w:sz w:val="26"/>
      <w:szCs w:val="26"/>
      <w:lang w:val="ru-RU" w:eastAsia="ru-RU" w:bidi="ar-SA"/>
    </w:rPr>
  </w:style>
  <w:style w:type="paragraph" w:styleId="Heading3">
    <w:name w:val="heading 3"/>
    <w:uiPriority w:val="9"/>
    <w:unhideWhenUsed/>
    <w:qFormat/>
    <w:rsid w:val="00285b63"/>
    <w:pPr>
      <w:keepNext w:val="true"/>
      <w:keepLines/>
      <w:widowControl/>
      <w:suppressAutoHyphens w:val="true"/>
      <w:bidi w:val="0"/>
      <w:spacing w:before="200" w:after="0"/>
      <w:jc w:val="both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kern w:val="0"/>
      <w:sz w:val="24"/>
      <w:szCs w:val="24"/>
      <w:lang w:val="ru-RU" w:eastAsia="ru-RU" w:bidi="ar-SA"/>
    </w:rPr>
  </w:style>
  <w:style w:type="paragraph" w:styleId="Heading4">
    <w:name w:val="heading 4"/>
    <w:uiPriority w:val="9"/>
    <w:unhideWhenUsed/>
    <w:qFormat/>
    <w:rsid w:val="005f433e"/>
    <w:pPr>
      <w:keepNext w:val="true"/>
      <w:keepLines/>
      <w:widowControl/>
      <w:suppressAutoHyphens w:val="true"/>
      <w:bidi w:val="0"/>
      <w:spacing w:before="200" w:after="0"/>
      <w:jc w:val="both"/>
      <w:outlineLvl w:val="3"/>
    </w:pPr>
    <w:rPr>
      <w:rFonts w:ascii="Cambria" w:hAnsi="Cambria" w:eastAsia="" w:cs="" w:asciiTheme="majorHAnsi" w:cstheme="majorBidi" w:eastAsiaTheme="majorEastAsia" w:hAnsiTheme="majorHAnsi"/>
      <w:b/>
      <w:bCs/>
      <w:i/>
      <w:iCs/>
      <w:color w:themeColor="accent1" w:val="4F81BD"/>
      <w:kern w:val="0"/>
      <w:sz w:val="24"/>
      <w:szCs w:val="24"/>
      <w:lang w:val="ru-RU" w:eastAsia="ru-RU" w:bidi="ar-SA"/>
    </w:rPr>
  </w:style>
  <w:style w:type="paragraph" w:styleId="Heading5">
    <w:name w:val="heading 5"/>
    <w:uiPriority w:val="9"/>
    <w:unhideWhenUsed/>
    <w:qFormat/>
    <w:rsid w:val="005f433e"/>
    <w:pPr>
      <w:keepNext w:val="true"/>
      <w:keepLines/>
      <w:widowControl/>
      <w:suppressAutoHyphens w:val="true"/>
      <w:bidi w:val="0"/>
      <w:spacing w:before="200" w:after="0"/>
      <w:jc w:val="both"/>
      <w:outlineLvl w:val="4"/>
    </w:pPr>
    <w:rPr>
      <w:rFonts w:ascii="Cambria" w:hAnsi="Cambria" w:eastAsia="" w:cs="" w:asciiTheme="majorHAnsi" w:cstheme="majorBidi" w:eastAsiaTheme="majorEastAsia" w:hAnsiTheme="majorHAnsi"/>
      <w:color w:themeColor="accent1" w:themeShade="7f" w:val="243F60"/>
      <w:kern w:val="0"/>
      <w:sz w:val="24"/>
      <w:szCs w:val="24"/>
      <w:lang w:val="ru-RU" w:eastAsia="ru-RU" w:bidi="ar-SA"/>
    </w:rPr>
  </w:style>
  <w:style w:type="paragraph" w:styleId="Heading6">
    <w:name w:val="heading 6"/>
    <w:uiPriority w:val="9"/>
    <w:unhideWhenUsed/>
    <w:qFormat/>
    <w:rsid w:val="005f433e"/>
    <w:pPr>
      <w:keepNext w:val="true"/>
      <w:keepLines/>
      <w:widowControl/>
      <w:suppressAutoHyphens w:val="true"/>
      <w:bidi w:val="0"/>
      <w:spacing w:before="200" w:after="0"/>
      <w:jc w:val="both"/>
      <w:outlineLvl w:val="5"/>
    </w:pPr>
    <w:rPr>
      <w:rFonts w:ascii="Cambria" w:hAnsi="Cambria" w:eastAsia="" w:cs="" w:asciiTheme="majorHAnsi" w:cstheme="majorBidi" w:eastAsiaTheme="majorEastAsia" w:hAnsiTheme="majorHAnsi"/>
      <w:i/>
      <w:iCs/>
      <w:color w:themeColor="accent1" w:themeShade="7f" w:val="243F60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626288"/>
    <w:rPr>
      <w:color w:themeColor="hyperlink" w:val="0000FF"/>
      <w:u w:val="single"/>
    </w:rPr>
  </w:style>
  <w:style w:type="character" w:styleId="Style8" w:customStyle="1">
    <w:name w:val="Текст выноски Знак"/>
    <w:basedOn w:val="DefaultParagraphFont"/>
    <w:link w:val="BalloonText"/>
    <w:uiPriority w:val="99"/>
    <w:semiHidden/>
    <w:qFormat/>
    <w:rsid w:val="00154fa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521f67"/>
    <w:rPr>
      <w:sz w:val="16"/>
      <w:szCs w:val="16"/>
    </w:rPr>
  </w:style>
  <w:style w:type="character" w:styleId="Style9" w:customStyle="1">
    <w:name w:val="Текст примечания Знак"/>
    <w:basedOn w:val="DefaultParagraphFont"/>
    <w:uiPriority w:val="99"/>
    <w:semiHidden/>
    <w:qFormat/>
    <w:rsid w:val="00521f67"/>
    <w:rPr>
      <w:sz w:val="20"/>
      <w:szCs w:val="20"/>
    </w:rPr>
  </w:style>
  <w:style w:type="character" w:styleId="Style10" w:customStyle="1">
    <w:name w:val="Тема примечания Знак"/>
    <w:basedOn w:val="Style9"/>
    <w:link w:val="annotationsubject"/>
    <w:uiPriority w:val="99"/>
    <w:semiHidden/>
    <w:qFormat/>
    <w:rsid w:val="00521f67"/>
    <w:rPr>
      <w:b/>
      <w:bCs/>
      <w:sz w:val="20"/>
      <w:szCs w:val="20"/>
    </w:rPr>
  </w:style>
  <w:style w:type="character" w:styleId="HTML" w:customStyle="1">
    <w:name w:val="Стандартный HTML Знак"/>
    <w:basedOn w:val="DefaultParagraphFont"/>
    <w:link w:val="HTMLPreformatted"/>
    <w:uiPriority w:val="99"/>
    <w:qFormat/>
    <w:rsid w:val="00580ce3"/>
    <w:rPr>
      <w:rFonts w:ascii="Courier New" w:hAnsi="Courier New" w:eastAsia="Times New Roman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qFormat/>
    <w:rsid w:val="00580ce3"/>
    <w:rPr>
      <w:rFonts w:ascii="Courier New" w:hAnsi="Courier New" w:eastAsia="Times New Roman" w:cs="Courier New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580ce3"/>
    <w:rPr>
      <w:i/>
      <w:iCs/>
    </w:rPr>
  </w:style>
  <w:style w:type="character" w:styleId="Style11" w:customStyle="1">
    <w:name w:val="Верхний колонтитул Знак"/>
    <w:basedOn w:val="DefaultParagraphFont"/>
    <w:uiPriority w:val="99"/>
    <w:qFormat/>
    <w:rsid w:val="00195c19"/>
    <w:rPr/>
  </w:style>
  <w:style w:type="character" w:styleId="Style12" w:customStyle="1">
    <w:name w:val="Нижний колонтитул Знак"/>
    <w:basedOn w:val="DefaultParagraphFont"/>
    <w:uiPriority w:val="99"/>
    <w:qFormat/>
    <w:rsid w:val="00195c19"/>
    <w:rPr/>
  </w:style>
  <w:style w:type="character" w:styleId="UnresolvedMention">
    <w:name w:val="Unresolved Mention"/>
    <w:basedOn w:val="DefaultParagraphFont"/>
    <w:uiPriority w:val="99"/>
    <w:semiHidden/>
    <w:unhideWhenUsed/>
    <w:qFormat/>
    <w:rsid w:val="00c1327e"/>
    <w:rPr>
      <w:color w:val="605E5C"/>
      <w:shd w:fill="E1DFDD" w:val="clear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Spacing">
    <w:name w:val="No Spacing"/>
    <w:basedOn w:val="ConsPlusNonformat"/>
    <w:uiPriority w:val="1"/>
    <w:qFormat/>
    <w:rsid w:val="00e60b6e"/>
    <w:pPr>
      <w:spacing w:lineRule="auto" w:line="276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34"/>
    <w:qFormat/>
    <w:rsid w:val="00c5447c"/>
    <w:pPr>
      <w:spacing w:before="0" w:after="0"/>
      <w:ind w:left="720"/>
      <w:contextualSpacing/>
    </w:pPr>
    <w:rPr>
      <w:color w:val="000000"/>
    </w:rPr>
  </w:style>
  <w:style w:type="paragraph" w:styleId="ConsPlusNormal" w:customStyle="1">
    <w:name w:val="ConsPlusNormal"/>
    <w:qFormat/>
    <w:rsid w:val="00626288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val="ru-RU" w:eastAsia="ru-RU" w:bidi="ar-SA"/>
    </w:rPr>
  </w:style>
  <w:style w:type="paragraph" w:styleId="ConsPlusNonformat" w:customStyle="1">
    <w:name w:val="ConsPlusNonformat"/>
    <w:uiPriority w:val="99"/>
    <w:qFormat/>
    <w:rsid w:val="00626288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" w:cs="Courier New" w:eastAsiaTheme="minorEastAsia"/>
      <w:color w:val="auto"/>
      <w:kern w:val="0"/>
      <w:sz w:val="20"/>
      <w:szCs w:val="20"/>
      <w:lang w:val="ru-RU" w:eastAsia="ru-RU" w:bidi="ar-SA"/>
    </w:rPr>
  </w:style>
  <w:style w:type="paragraph" w:styleId="BalloonText">
    <w:name w:val="Balloon Text"/>
    <w:basedOn w:val="Normal"/>
    <w:link w:val="Style8"/>
    <w:uiPriority w:val="99"/>
    <w:semiHidden/>
    <w:unhideWhenUsed/>
    <w:qFormat/>
    <w:rsid w:val="00154faf"/>
    <w:pPr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Style9"/>
    <w:uiPriority w:val="99"/>
    <w:semiHidden/>
    <w:unhideWhenUsed/>
    <w:rsid w:val="00521f67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10"/>
    <w:uiPriority w:val="99"/>
    <w:semiHidden/>
    <w:unhideWhenUsed/>
    <w:qFormat/>
    <w:rsid w:val="00521f67"/>
    <w:pPr/>
    <w:rPr>
      <w:b/>
      <w:bCs/>
    </w:rPr>
  </w:style>
  <w:style w:type="paragraph" w:styleId="Default" w:customStyle="1">
    <w:name w:val="Default"/>
    <w:qFormat/>
    <w:rsid w:val="006d44d9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Arial Unicode MS" w:cs="Times New Roman"/>
      <w:color w:val="000000"/>
      <w:kern w:val="0"/>
      <w:sz w:val="24"/>
      <w:szCs w:val="24"/>
      <w:lang w:val="ru-RU" w:eastAsia="ru-RU" w:bidi="ar-SA"/>
    </w:rPr>
  </w:style>
  <w:style w:type="paragraph" w:styleId="HTMLPreformatted">
    <w:name w:val="HTML Preformatted"/>
    <w:basedOn w:val="Normal"/>
    <w:link w:val="HTML"/>
    <w:uiPriority w:val="99"/>
    <w:unhideWhenUsed/>
    <w:qFormat/>
    <w:rsid w:val="00580ce3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jc w:val="left"/>
    </w:pPr>
    <w:rPr>
      <w:rFonts w:ascii="Courier New" w:hAnsi="Courier New" w:eastAsia="Times New Roman" w:cs="Courier New"/>
      <w:sz w:val="20"/>
      <w:szCs w:val="20"/>
    </w:rPr>
  </w:style>
  <w:style w:type="paragraph" w:styleId="user2">
    <w:name w:val="Колонтитулы (user)"/>
    <w:basedOn w:val="Normal"/>
    <w:qFormat/>
    <w:pPr/>
    <w:rPr/>
  </w:style>
  <w:style w:type="paragraph" w:styleId="Style15">
    <w:name w:val="Колонтитулы"/>
    <w:basedOn w:val="Normal"/>
    <w:qFormat/>
    <w:pPr/>
    <w:rPr/>
  </w:style>
  <w:style w:type="paragraph" w:styleId="Header">
    <w:name w:val="header"/>
    <w:basedOn w:val="Normal"/>
    <w:link w:val="Style11"/>
    <w:uiPriority w:val="99"/>
    <w:unhideWhenUsed/>
    <w:rsid w:val="00195c1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2"/>
    <w:uiPriority w:val="99"/>
    <w:unhideWhenUsed/>
    <w:rsid w:val="00195c1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21" w:customStyle="1">
    <w:name w:val="Основной текст 21"/>
    <w:basedOn w:val="Normal"/>
    <w:qFormat/>
    <w:rsid w:val="0009117a"/>
    <w:pPr>
      <w:suppressAutoHyphens w:val="true"/>
    </w:pPr>
    <w:rPr>
      <w:rFonts w:ascii="Times New Roman" w:hAnsi="Times New Roman" w:eastAsia="Times New Roman" w:cs="Times New Roman"/>
      <w:sz w:val="22"/>
      <w:szCs w:val="20"/>
      <w:lang w:val="en-US" w:eastAsia="zh-CN"/>
    </w:rPr>
  </w:style>
  <w:style w:type="numbering" w:styleId="user3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hAnsiTheme="minorHAnsi" w:eastAsiaTheme="minorHAnsi" w:cstheme="minorBidi"/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LibreOffice/25.2.6.2$Linux_X86_64 LibreOffice_project/520$Build-2</Application>
  <AppVersion>15.0000</AppVersion>
  <Pages>5</Pages>
  <Words>1312</Words>
  <Characters>9659</Characters>
  <CharactersWithSpaces>10922</CharactersWithSpaces>
  <Paragraphs>86</Paragraphs>
  <Company>MIOMO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2026-06-15T13:57:00Z</dcterms:created>
  <dc:creator>KichatovNA</dc:creator>
  <dc:description/>
  <dc:language>ru-RU</dc:language>
  <cp:lastModifiedBy/>
  <cp:lastPrinted>2022-02-16T11:57:00Z</cp:lastPrinted>
  <dcterms:modified xsi:type="dcterms:W3CDTF">2026-09-11T09:45:02Z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