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70469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69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70469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04696">
        <w:rPr>
          <w:noProof/>
          <w:sz w:val="24"/>
          <w:szCs w:val="24"/>
        </w:rPr>
        <w:t>1040</w:t>
      </w:r>
      <w:r w:rsidR="00102979" w:rsidRPr="0070469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0469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0469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0469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0469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04696">
        <w:rPr>
          <w:sz w:val="24"/>
          <w:szCs w:val="24"/>
        </w:rPr>
        <w:t xml:space="preserve"> </w:t>
      </w:r>
      <w:r w:rsidR="001964A6" w:rsidRPr="00704696">
        <w:rPr>
          <w:noProof/>
          <w:sz w:val="24"/>
          <w:szCs w:val="24"/>
        </w:rPr>
        <w:t>50:18:0040227:806</w:t>
      </w:r>
      <w:r w:rsidRPr="0070469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0469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04696">
        <w:rPr>
          <w:sz w:val="24"/>
          <w:szCs w:val="24"/>
        </w:rPr>
        <w:t xml:space="preserve"> – «</w:t>
      </w:r>
      <w:r w:rsidR="00597746" w:rsidRPr="00704696">
        <w:rPr>
          <w:noProof/>
          <w:sz w:val="24"/>
          <w:szCs w:val="24"/>
        </w:rPr>
        <w:t>Земли населенных пунктов</w:t>
      </w:r>
      <w:r w:rsidRPr="0070469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0469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0469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04696">
        <w:rPr>
          <w:sz w:val="24"/>
          <w:szCs w:val="24"/>
        </w:rPr>
        <w:t xml:space="preserve"> – «</w:t>
      </w:r>
      <w:r w:rsidR="003E59E1" w:rsidRPr="0070469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70469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0469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0469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04696">
        <w:rPr>
          <w:sz w:val="24"/>
          <w:szCs w:val="24"/>
        </w:rPr>
        <w:t>:</w:t>
      </w:r>
      <w:proofErr w:type="gramEnd"/>
      <w:r w:rsidRPr="00704696">
        <w:rPr>
          <w:sz w:val="24"/>
          <w:szCs w:val="24"/>
        </w:rPr>
        <w:t xml:space="preserve"> </w:t>
      </w:r>
      <w:r w:rsidR="00D1191C" w:rsidRPr="00704696">
        <w:rPr>
          <w:noProof/>
          <w:sz w:val="24"/>
          <w:szCs w:val="24"/>
        </w:rPr>
        <w:t>Московская область, город Можайск, деревня Новомихайловкам</w:t>
      </w:r>
      <w:r w:rsidR="00472CAA" w:rsidRPr="00704696">
        <w:rPr>
          <w:sz w:val="24"/>
          <w:szCs w:val="24"/>
        </w:rPr>
        <w:t xml:space="preserve"> </w:t>
      </w:r>
      <w:r w:rsidRPr="0070469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0469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0469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04696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04696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Водного кодекса Российской Федерации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Главного государственного санитарного врача РФ от 30.04.2010 № 45 «Об утверждении СП 2.1.4.2625-10»</w:t>
      </w:r>
      <w:r w:rsidRPr="00A31FA7">
        <w:rPr>
          <w:noProof/>
        </w:rPr>
        <w:br/>
      </w:r>
      <w:r w:rsidRPr="00A31FA7">
        <w:rPr>
          <w:noProof/>
        </w:rPr>
        <w:br/>
        <w:t>- 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</w:t>
      </w:r>
      <w:r w:rsidRPr="00A31FA7">
        <w:rPr>
          <w:noProof/>
        </w:rPr>
        <w:br/>
      </w:r>
      <w:r w:rsidRPr="00A31FA7">
        <w:rPr>
          <w:noProof/>
        </w:rPr>
        <w:br/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lastRenderedPageBreak/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70469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04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70469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70469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6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70469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0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0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04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70469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9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70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70469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04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0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70469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1040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70469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C0" w:rsidRDefault="003D2CC0" w:rsidP="00195C19">
      <w:r>
        <w:separator/>
      </w:r>
    </w:p>
  </w:endnote>
  <w:endnote w:type="continuationSeparator" w:id="0">
    <w:p w:rsidR="003D2CC0" w:rsidRDefault="003D2CC0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C0" w:rsidRDefault="003D2CC0" w:rsidP="00195C19">
      <w:r>
        <w:separator/>
      </w:r>
    </w:p>
  </w:footnote>
  <w:footnote w:type="continuationSeparator" w:id="0">
    <w:p w:rsidR="003D2CC0" w:rsidRDefault="003D2CC0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2CC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4696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098E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44715-B77D-4108-A271-8E1382A8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3255</Words>
  <Characters>18559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2025-07-10T08:02:00Z</dcterms:created>
  <dcterms:modified xsi:type="dcterms:W3CDTF">2025-07-10T08:02:00Z</dcterms:modified>
</cp:coreProperties>
</file>