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526"/>
        <w:gridCol w:w="1740"/>
        <w:gridCol w:w="1501"/>
        <w:gridCol w:w="1502"/>
        <w:gridCol w:w="1502"/>
        <w:gridCol w:w="1873"/>
        <w:gridCol w:w="1418"/>
        <w:gridCol w:w="1562"/>
        <w:gridCol w:w="2123"/>
      </w:tblGrid>
      <w:tr>
        <w:trPr>
          <w:cantSplit/>
          <w:tblHeader/>
        </w:trPr>
        <w:tc>
          <w:tcPr>
            <w:tcW w:w="1526" w:type="dxa"/>
            <w:vAlign w:val="center"/>
          </w:tcPr>
          <w:p w:rsidRPr="00C416A9" w:rsidR="007203F8" w:rsidP="00573933" w:rsidRDefault="007203F8" w14:paraId="2563F206" w14:textId="77777777">
            <w:pPr>
              <w:pStyle w:val="aff2"/>
              <w:keepNext/>
              <w:jc w:val="center"/>
              <w:rPr>
                <w:b/>
                <w:sz w:val="18"/>
                <w:szCs w:val="18"/>
              </w:rPr>
            </w:pPr>
            <w:r>
              <w:rPr>
                <w:b/>
                <w:sz w:val="18"/>
                <w:szCs w:val="18"/>
              </w:rPr>
              <w:t>№ п/п</w:t>
            </w:r>
          </w:p>
        </w:tc>
        <w:tc>
          <w:tcPr>
            <w:tcW w:w="1740" w:type="dxa"/>
            <w:shd w:val="clear" w:color="auto" w:fill="auto"/>
            <w:vAlign w:val="center"/>
          </w:tcPr>
          <w:p w:rsidRPr="00C416A9" w:rsidR="007203F8" w:rsidP="00573933" w:rsidRDefault="007203F8" w14:paraId="0648A394" w14:textId="77777777">
            <w:pPr>
              <w:pStyle w:val="aff2"/>
              <w:keepNext/>
              <w:jc w:val="center"/>
              <w:rPr>
                <w:sz w:val="18"/>
                <w:szCs w:val="18"/>
              </w:rPr>
            </w:pPr>
            <w:r w:rsidRPr="00C416A9">
              <w:rPr>
                <w:b/>
                <w:sz w:val="18"/>
                <w:szCs w:val="18"/>
              </w:rPr>
              <w:t>Наименование объекта закупки по ОКПД 2</w:t>
            </w:r>
            <w:r>
              <w:rPr>
                <w:b/>
                <w:sz w:val="18"/>
                <w:szCs w:val="18"/>
              </w:rPr>
              <w:t xml:space="preserve"> </w:t>
            </w:r>
          </w:p>
        </w:tc>
        <w:tc>
          <w:tcPr>
            <w:tcW w:w="1501" w:type="dxa"/>
            <w:shd w:val="clear" w:color="auto" w:fill="auto"/>
            <w:vAlign w:val="center"/>
          </w:tcPr>
          <w:p w:rsidR="007203F8" w:rsidP="00573933" w:rsidRDefault="008B7A91" w14:paraId="2BB81E9D" w14:textId="77777777">
            <w:pPr>
              <w:pStyle w:val="19"/>
              <w:keepNext/>
              <w:jc w:val="center"/>
              <w:rPr>
                <w:sz w:val="18"/>
                <w:szCs w:val="18"/>
              </w:rPr>
            </w:pPr>
            <w:r w:rsidR="007203F8">
              <w:rPr>
                <w:sz w:val="18"/>
                <w:szCs w:val="18"/>
                <w:lang w:val="en-US"/>
              </w:rPr>
              <w:t>КОЗ2 / КОЗ</w:t>
            </w:r>
          </w:p>
        </w:tc>
        <w:tc>
          <w:tcPr>
            <w:tcW w:w="1502" w:type="dxa"/>
            <w:vAlign w:val="center"/>
          </w:tcPr>
          <w:p w:rsidR="007203F8" w:rsidP="007203F8" w:rsidRDefault="008B7A91" w14:paraId="517B2934" w14:textId="77777777">
            <w:pPr>
              <w:pStyle w:val="19"/>
              <w:keepNext/>
              <w:jc w:val="center"/>
            </w:pPr>
            <w:r w:rsidR="00152408">
              <w:rPr>
                <w:sz w:val="18"/>
                <w:szCs w:val="18"/>
                <w:lang w:val="en-US"/>
              </w:rPr>
              <w:t>Дополнительная информация</w:t>
            </w:r>
          </w:p>
        </w:tc>
        <w:tc>
          <w:tcPr>
            <w:tcW w:w="1502" w:type="dxa"/>
            <w:shd w:val="clear" w:color="auto" w:fill="auto"/>
            <w:vAlign w:val="center"/>
          </w:tcPr>
          <w:p w:rsidR="007203F8" w:rsidP="00573933" w:rsidRDefault="008B7A91" w14:paraId="7CE88442" w14:textId="77777777">
            <w:pPr>
              <w:pStyle w:val="19"/>
              <w:keepNext/>
              <w:jc w:val="center"/>
              <w:rPr>
                <w:sz w:val="18"/>
                <w:szCs w:val="18"/>
              </w:rPr>
            </w:pPr>
            <w:r w:rsidR="007203F8">
              <w:rPr>
                <w:sz w:val="18"/>
                <w:szCs w:val="18"/>
                <w:lang w:val="en-US"/>
              </w:rPr>
              <w:t>Детализированное наименование объекта закупки в соответствии с планом закупки/договором / товарный знак</w:t>
            </w:r>
          </w:p>
        </w:tc>
        <w:tc>
          <w:tcPr>
            <w:tcW w:w="1873" w:type="dxa"/>
            <w:vAlign w:val="center"/>
          </w:tcPr>
          <w:p w:rsidR="007203F8" w:rsidP="00573933" w:rsidRDefault="008B7A91" w14:paraId="7F26C60B" w14:textId="513DF1C8">
            <w:pPr>
              <w:pStyle w:val="19"/>
              <w:keepNext/>
              <w:jc w:val="center"/>
              <w:rPr>
                <w:sz w:val="18"/>
                <w:szCs w:val="18"/>
              </w:rPr>
            </w:pPr>
            <w:r w:rsidR="003F52E3">
              <w:rPr>
                <w:sz w:val="18"/>
                <w:szCs w:val="18"/>
                <w:lang w:val="en-US"/>
              </w:rPr>
              <w:t>Цена единицы, руб</w:t>
            </w:r>
          </w:p>
        </w:tc>
        <w:tc>
          <w:tcPr>
            <w:tcW w:w="1418" w:type="dxa"/>
            <w:vAlign w:val="center"/>
          </w:tcPr>
          <w:p w:rsidR="007203F8" w:rsidP="00573933" w:rsidRDefault="007203F8" w14:paraId="0D888DC2" w14:textId="77777777">
            <w:pPr>
              <w:pStyle w:val="19"/>
              <w:keepNext/>
              <w:jc w:val="center"/>
              <w:rPr>
                <w:sz w:val="18"/>
                <w:szCs w:val="18"/>
              </w:rPr>
            </w:pPr>
            <w:r>
              <w:rPr>
                <w:sz w:val="18"/>
                <w:szCs w:val="18"/>
              </w:rPr>
              <w:t>Количество</w:t>
            </w:r>
          </w:p>
        </w:tc>
        <w:tc>
          <w:tcPr>
            <w:tcW w:w="1562" w:type="dxa"/>
            <w:shd w:val="clear" w:color="auto" w:fill="auto"/>
            <w:vAlign w:val="center"/>
          </w:tcPr>
          <w:p w:rsidR="007203F8" w:rsidP="00573933" w:rsidRDefault="007203F8" w14:paraId="4AB30565" w14:textId="77777777">
            <w:pPr>
              <w:pStyle w:val="19"/>
              <w:keepNext/>
              <w:jc w:val="center"/>
              <w:rPr>
                <w:sz w:val="18"/>
                <w:szCs w:val="18"/>
              </w:rPr>
            </w:pPr>
            <w:r>
              <w:rPr>
                <w:sz w:val="18"/>
                <w:szCs w:val="18"/>
              </w:rPr>
              <w:t>Единицы измерения</w:t>
            </w:r>
          </w:p>
        </w:tc>
        <w:tc>
          <w:tcPr>
            <w:tcW w:w="2123" w:type="dxa"/>
            <w:shd w:val="clear" w:color="auto" w:fill="auto"/>
            <w:vAlign w:val="center"/>
          </w:tcPr>
          <w:p w:rsidR="007203F8" w:rsidP="00573933" w:rsidRDefault="007203F8" w14:paraId="50E2DD31" w14:textId="77777777">
            <w:pPr>
              <w:pStyle w:val="19"/>
              <w:keepNext/>
              <w:jc w:val="center"/>
              <w:rPr>
                <w:sz w:val="18"/>
                <w:szCs w:val="18"/>
              </w:rPr>
            </w:pPr>
            <w:r>
              <w:rPr>
                <w:sz w:val="18"/>
                <w:szCs w:val="18"/>
              </w:rPr>
              <w:t>Общая стоимость, руб.</w:t>
            </w: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1</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58.29.50.000 - Услуги по предоставлению лицензий на право использовать компьютерное программное обеспечение</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21.205.04.01.01.01.006 / 02.02.19.59</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Передача (продление) права использования на условиях простой (неисключительной) лицензии ПО «Отраслевой информационный ресурс» в составе ПО «ЭС «РАМЗЭС 2.0»</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по предоставлению прав использования программного обеспечения с заключением лицензионного или сублицензионного договора (условная единица)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bl>
    <w:p w:rsidR="007203F8" w:rsidP="007203F8" w:rsidRDefault="008B7A91" w14:paraId="2B5067EC" w14:textId="77777777">
      <w:pPr>
        <w:pStyle w:val="aff2"/>
        <w:keepNext/>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Передача (продление) права использования на условиях простой (неисключительной) лицензии ПО «Отраслевой информационный ресурс» в составе ПО «ЭС «РАМЗЭС 2.0»</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Лицензиар</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Лизензиат</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Передача (продление) права использования на условиях простой (неисключительной) лицензии ПО «Отраслевой информационный ресурс» в составе ПО «ЭС «РАМЗЭС 2.0»</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180 000,00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исполнения обязательства Лицензиаром**: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исполнения обязательства Лицензиаром**:</w:t>
            </w:r>
            <w:r w:rsidR="00AC663B">
              <w:rPr>
                <w:sz w:val="18"/>
                <w:szCs w:val="18"/>
                <w:lang w:val="en-US"/>
              </w:rPr>
              <w:t xml:space="preserve"> </w:t>
            </w:r>
            <w:r w:rsidR="005D4FB3">
              <w:rPr>
                <w:sz w:val="18"/>
                <w:szCs w:val="18"/>
                <w:lang w:val="en-US"/>
              </w:rPr>
              <w:t>31.12.2026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Лицензиаром, срок осуществления приемки и оформления результатов либо направления мотивированного отказа от подписания документа о приемке Лизензиатом*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Передача (продление) права использования на условиях простой (неисключительной) лицензии ПО «Отраслевой информационный ресурс» в составе ПО «ЭС «РАМЗЭС 2.0»</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Лизензиат</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Акт (ДОП),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Лицензиар</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Лизензиат</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за передачу (продление) права использования на условиях простой (неисключительной) лицензии ПО «Отраслевой информационный ресурс» в составе ПО «ЭС «РАМЗЭС 2.0»</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Лизензиатом**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«Акт (ДОП), формат УПД, утвержденный приказом ФНС России» (Передача (продление) права использования на условиях простой (неисключительной) лицензии ПО «Отраслевой информационный ресурс» в составе ПО «ЭС «РАМЗЭС 2.0»)</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Адреса доставки</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Адреса доставки</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Государственное Автономное Учреждение Культуры Московской Области "Государственный историко-литературный музей-заповедник А.С. Пушкина"</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143050, Московская область, Одинцовский городской округ, р.п. Большие Вязёмы</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за передачу (продление) права использования на условиях простой (неисключительной) лицензии ПО «Отраслевой информационный ресурс» в составе ПО «ЭС «РАМЗЭС 2.0»</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Лизензиат</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Передача (продление) права использования на условиях простой (неисключительной) лицензии ПО «Отраслевой информационный ресурс» в составе ПО «ЭС «РАМЗЭС 2.0»</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Акт (ДОП),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Лицензиар</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Лизензиат</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Лицензиар</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Лизензиат</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Передача (продление) права использования на условиях простой (неисключительной) лицензии ПО «Отраслевой информационный ресурс» в составе ПО «ЭС «РАМЗЭС 2.0»</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Лизензиата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лизензиата</w:t>
      </w:r>
      <w:r>
        <w:t xml:space="preserve">, </w:t>
      </w:r>
      <w:r w:rsidRPr="000F1860" w:rsidR="00093821">
        <w:rPr>
          <w:lang w:val="en-US"/>
        </w:rPr>
        <w:t>лицензиара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144306-26</w:t>
    </w:r>
  </w:p>
  <w:p w:rsidR="005534BB" w:rsidRDefault="005534BB" w14:paraId="639EC3D1" w14:textId="77777777">
    <w:pPr>
      <w:pStyle w:val="af3"/>
    </w:pPr>
  </w:p>
</w:ftr>
</file>

<file path=word/footer2.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