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1D959">
      <w:pPr>
        <w:shd w:val="clear"/>
        <w:jc w:val="center"/>
        <w:rPr>
          <w:b/>
          <w:highlight w:val="none"/>
          <w:lang w:val="en-US" w:eastAsia="en-US"/>
        </w:rPr>
      </w:pPr>
      <w:r>
        <w:rPr>
          <w:b/>
          <w:highlight w:val="none"/>
          <w:lang w:val="en-US" w:eastAsia="en-US"/>
        </w:rPr>
        <w:t xml:space="preserve">Проект договора № ________________</w:t>
      </w:r>
    </w:p>
    <w:p w14:paraId="112BF1FE">
      <w:pPr>
        <w:shd w:val="clear"/>
        <w:jc w:val="center"/>
        <w:rPr>
          <w:rFonts w:hint="default"/>
          <w:highlight w:val="none"/>
          <w:lang w:val="en-US"/>
        </w:rPr>
      </w:pPr>
      <w:r>
        <w:rPr>
          <w:rFonts w:hint="default"/>
          <w:highlight w:val="none"/>
          <w:lang w:val="en-US"/>
        </w:rPr>
        <w:t xml:space="preserve">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p w14:paraId="0E8B96E3">
      <w:pPr>
        <w:shd w:val="clear"/>
        <w:jc w:val="center"/>
        <w:rPr>
          <w:rFonts w:hint="default"/>
          <w:highlight w:val="none"/>
          <w:lang w:val="en-US"/>
        </w:rPr>
      </w:pPr>
    </w:p>
    <w:p w14:paraId="07D23FC6">
      <w:pPr>
        <w:shd w:val="clear"/>
        <w:jc w:val="center"/>
        <w:rPr>
          <w:rFonts w:hint="default"/>
          <w:highlight w:val="none"/>
          <w:lang w:val="en-US" w:eastAsia="en-US"/>
        </w:rPr>
      </w:pPr>
      <w:r>
        <w:rPr>
          <w:rFonts w:hint="default"/>
          <w:highlight w:val="none"/>
          <w:lang w:val="en-US" w:eastAsia="en-US"/>
        </w:rPr>
        <w:t xml:space="preserve"/>
      </w:r>
    </w:p>
    <w:p w14:paraId="5DEF5BC3">
      <w:pPr>
        <w:shd w:val="clear"/>
        <w:rPr>
          <w:highlight w:val="none"/>
          <w:lang w:val="en-US" w:eastAsia="en-US"/>
        </w:rPr>
      </w:pPr>
    </w:p>
    <w:p w14:paraId="42A03469">
      <w:pPr>
        <w:shd w:val="clear"/>
        <w:jc w:val="right"/>
        <w:rPr>
          <w:highlight w:val="none"/>
          <w:lang w:val="en-US" w:eastAsia="en-US"/>
        </w:rPr>
      </w:pPr>
      <w:r>
        <w:rPr>
          <w:highlight w:val="none"/>
          <w:lang w:val="en-US" w:eastAsia="en-US"/>
        </w:rPr>
        <w:tab/>
      </w:r>
      <w:r>
        <w:rPr>
          <w:highlight w:val="none"/>
          <w:lang w:val="en-US"/>
        </w:rPr>
        <w:t xml:space="preserve">«___» _____________ 20___ год</w:t>
      </w:r>
      <w:r>
        <w:rPr>
          <w:highlight w:val="none"/>
          <w:lang w:val="en-AU"/>
        </w:rPr>
        <w:t/>
      </w:r>
      <w:r>
        <w:rPr>
          <w:highlight w:val="none"/>
          <w:lang w:val="en-US"/>
        </w:rPr>
        <w:t xml:space="preserve"/>
      </w:r>
    </w:p>
    <w:p w14:paraId="79ADBAD6">
      <w:pPr>
        <w:shd w:val="clear"/>
        <w:rPr>
          <w:highlight w:val="none"/>
          <w:lang w:val="en-US" w:eastAsia="en-US"/>
        </w:rPr>
      </w:pPr>
    </w:p>
    <w:p w14:paraId="608E26B0">
      <w:pPr>
        <w:shd w:val="clear"/>
        <w:rPr>
          <w:highlight w:val="none"/>
          <w:lang w:val="en-US" w:eastAsia="en-US"/>
        </w:rPr>
      </w:pPr>
      <w:r>
        <w:rPr>
          <w:highlight w:val="none"/>
          <w:lang w:val="en-US" w:eastAsia="en-US"/>
        </w:rPr>
        <w:t xml:space="preserve">Государственное Автономное Учреждение Культуры Московской Области "Государственный историко-литературный музей-заповедник А.С. Пушкина"</w:t>
      </w:r>
      <w:r>
        <w:rPr>
          <w:highlight w:val="none"/>
          <w:lang w:val="en-US"/>
        </w:rPr>
        <w:t/>
      </w:r>
      <w:r>
        <w:rPr>
          <w:highlight w:val="none"/>
          <w:lang w:val="en-US" w:eastAsia="en-US"/>
        </w:rPr>
        <w:t xml:space="preserve">, </w:t>
      </w:r>
      <w:r>
        <w:rPr>
          <w:highlight w:val="none"/>
          <w:lang w:eastAsia="en-US"/>
        </w:rPr>
        <w:t>именуемое</w:t>
      </w:r>
      <w:r>
        <w:rPr>
          <w:highlight w:val="none"/>
          <w:lang w:val="en-US" w:eastAsia="en-US"/>
        </w:rPr>
        <w:t>(</w:t>
      </w:r>
      <w:r>
        <w:rPr>
          <w:highlight w:val="none"/>
          <w:lang w:eastAsia="en-US"/>
        </w:rPr>
        <w:t>ая</w:t>
      </w:r>
      <w:r>
        <w:rPr>
          <w:highlight w:val="none"/>
          <w:lang w:val="en-US" w:eastAsia="en-US"/>
        </w:rPr>
        <w:t>,</w:t>
      </w:r>
      <w:r>
        <w:rPr>
          <w:highlight w:val="none"/>
          <w:lang w:eastAsia="en-US"/>
        </w:rPr>
        <w:t>ый</w:t>
      </w:r>
      <w:r>
        <w:rPr>
          <w:highlight w:val="none"/>
          <w:lang w:val="en-US" w:eastAsia="en-US"/>
        </w:rPr>
        <w:t xml:space="preserve">) </w:t>
      </w:r>
      <w:r>
        <w:rPr>
          <w:highlight w:val="none"/>
          <w:lang w:eastAsia="en-US"/>
        </w:rPr>
        <w:t>в</w:t>
      </w:r>
      <w:r>
        <w:rPr>
          <w:highlight w:val="none"/>
          <w:lang w:val="en-US" w:eastAsia="en-US"/>
        </w:rPr>
        <w:t xml:space="preserve"> </w:t>
      </w:r>
      <w:r>
        <w:rPr>
          <w:highlight w:val="none"/>
          <w:lang w:eastAsia="en-US"/>
        </w:rPr>
        <w:t>дальнейшем</w:t>
      </w:r>
      <w:r>
        <w:rPr>
          <w:highlight w:val="none"/>
          <w:lang w:val="en-US" w:eastAsia="en-US"/>
        </w:rPr>
        <w:t xml:space="preserve"> «Лизензиат</w:t>
      </w:r>
      <w:r>
        <w:rPr>
          <w:rStyle w:val="11"/>
          <w:color w:val="auto"/>
          <w:highlight w:val="none"/>
          <w:u w:val="none"/>
          <w:lang w:val="en-US" w:eastAsia="en-US"/>
        </w:rPr>
        <w:t/>
      </w:r>
      <w:r>
        <w:rPr>
          <w:highlight w:val="none"/>
          <w:lang w:val="en-US" w:eastAsia="en-US"/>
        </w:rPr>
        <w:t xml:space="preserve">», </w:t>
      </w:r>
      <w:r>
        <w:rPr>
          <w:highlight w:val="none"/>
        </w:rPr>
        <w:t>в</w:t>
      </w:r>
      <w:r>
        <w:rPr>
          <w:highlight w:val="none"/>
          <w:lang w:val="en-US"/>
        </w:rPr>
        <w:t xml:space="preserve"> </w:t>
      </w:r>
      <w:r>
        <w:rPr>
          <w:highlight w:val="none"/>
        </w:rPr>
        <w:t>лице</w:t>
      </w:r>
      <w:r>
        <w:rPr>
          <w:highlight w:val="none"/>
          <w:lang w:val="en-US"/>
        </w:rPr>
        <w:t xml:space="preserve"> Директора РЯЗАНОВА АЛЕКСАНДРА МИХАЙЛОВИЧА, </w:t>
      </w:r>
      <w:r>
        <w:rPr>
          <w:highlight w:val="none"/>
        </w:rPr>
        <w:t>действующего</w:t>
      </w:r>
      <w:r>
        <w:rPr>
          <w:highlight w:val="none"/>
          <w:lang w:val="en-US"/>
        </w:rPr>
        <w:t xml:space="preserve"> </w:t>
      </w:r>
      <w:r>
        <w:rPr>
          <w:highlight w:val="none"/>
        </w:rPr>
        <w:t>на</w:t>
      </w:r>
      <w:r>
        <w:rPr>
          <w:highlight w:val="none"/>
          <w:lang w:val="en-US"/>
        </w:rPr>
        <w:t xml:space="preserve"> </w:t>
      </w:r>
      <w:r>
        <w:rPr>
          <w:highlight w:val="none"/>
        </w:rPr>
        <w:t>основании</w:t>
      </w:r>
      <w:r>
        <w:rPr>
          <w:highlight w:val="none"/>
          <w:lang w:val="en-US"/>
        </w:rPr>
        <w:t xml:space="preserve"> Устава, </w:t>
      </w:r>
      <w:r>
        <w:rPr>
          <w:highlight w:val="none"/>
        </w:rPr>
        <w:t>с</w:t>
      </w:r>
      <w:r>
        <w:rPr>
          <w:highlight w:val="none"/>
          <w:lang w:val="en-US"/>
        </w:rPr>
        <w:t xml:space="preserve"> </w:t>
      </w:r>
      <w:r>
        <w:rPr>
          <w:highlight w:val="none"/>
        </w:rPr>
        <w:t>одной</w:t>
      </w:r>
      <w:r>
        <w:rPr>
          <w:highlight w:val="none"/>
          <w:lang w:val="en-US"/>
        </w:rPr>
        <w:t xml:space="preserve"> </w:t>
      </w:r>
      <w:r>
        <w:rPr>
          <w:highlight w:val="none"/>
        </w:rPr>
        <w:t>стороны</w:t>
      </w:r>
      <w:r>
        <w:rPr>
          <w:highlight w:val="none"/>
          <w:lang w:val="en-US"/>
        </w:rPr>
        <w:t xml:space="preserve">, </w:t>
      </w:r>
      <w:r>
        <w:rPr>
          <w:highlight w:val="none"/>
        </w:rPr>
        <w:t>и</w:t>
      </w:r>
      <w:r>
        <w:rPr>
          <w:highlight w:val="none"/>
          <w:lang w:val="en-US"/>
        </w:rPr>
        <w:t xml:space="preserve"> </w:t>
      </w:r>
      <w:r>
        <w:rPr>
          <w:rStyle w:val="11"/>
          <w:color w:val="auto"/>
          <w:highlight w:val="none"/>
          <w:u w:val="none"/>
          <w:lang w:val="en-US" w:eastAsia="en-US"/>
        </w:rPr>
        <w:t xml:space="preserve">________________, </w:t>
      </w:r>
      <w:r>
        <w:rPr>
          <w:highlight w:val="none"/>
        </w:rPr>
        <w:t>именуемое</w:t>
      </w:r>
      <w:r>
        <w:rPr>
          <w:highlight w:val="none"/>
          <w:lang w:val="en-US"/>
        </w:rPr>
        <w:t>(</w:t>
      </w:r>
      <w:r>
        <w:rPr>
          <w:highlight w:val="none"/>
        </w:rPr>
        <w:t>ая</w:t>
      </w:r>
      <w:r>
        <w:rPr>
          <w:highlight w:val="none"/>
          <w:lang w:val="en-US"/>
        </w:rPr>
        <w:t>,</w:t>
      </w:r>
      <w:r>
        <w:rPr>
          <w:highlight w:val="none"/>
        </w:rPr>
        <w:t>ый</w:t>
      </w:r>
      <w:r>
        <w:rPr>
          <w:highlight w:val="none"/>
          <w:lang w:val="en-US"/>
        </w:rPr>
        <w:t xml:space="preserve">) </w:t>
      </w:r>
      <w:r>
        <w:rPr>
          <w:highlight w:val="none"/>
        </w:rPr>
        <w:t>в</w:t>
      </w:r>
      <w:r>
        <w:rPr>
          <w:highlight w:val="none"/>
          <w:lang w:val="en-US"/>
        </w:rPr>
        <w:t xml:space="preserve"> </w:t>
      </w:r>
      <w:r>
        <w:rPr>
          <w:highlight w:val="none"/>
        </w:rPr>
        <w:t>дальнейшем</w:t>
      </w:r>
      <w:r>
        <w:rPr>
          <w:highlight w:val="none"/>
          <w:lang w:val="en-US"/>
        </w:rPr>
        <w:t xml:space="preserve"> «Лицензиар</w:t>
      </w:r>
      <w:r>
        <w:rPr>
          <w:rStyle w:val="11"/>
          <w:color w:val="auto"/>
          <w:highlight w:val="none"/>
          <w:u w:val="none"/>
          <w:lang w:val="en-US" w:eastAsia="en-US"/>
        </w:rPr>
        <w:t/>
      </w:r>
      <w:r>
        <w:rPr>
          <w:highlight w:val="none"/>
          <w:lang w:val="en-US"/>
        </w:rPr>
        <w:t xml:space="preserve">», </w:t>
      </w:r>
      <w:r>
        <w:rPr>
          <w:highlight w:val="none"/>
        </w:rPr>
        <w:t>в</w:t>
      </w:r>
      <w:r>
        <w:rPr>
          <w:highlight w:val="none"/>
          <w:lang w:val="en-US"/>
        </w:rPr>
        <w:t xml:space="preserve"> </w:t>
      </w:r>
      <w:r>
        <w:rPr>
          <w:highlight w:val="none"/>
        </w:rPr>
        <w:t>лице</w:t>
      </w:r>
      <w:r>
        <w:rPr>
          <w:highlight w:val="none"/>
          <w:lang w:val="en-US"/>
        </w:rPr>
        <w:t xml:space="preserve"> ________________ ________________, </w:t>
      </w:r>
      <w:r>
        <w:rPr>
          <w:highlight w:val="none"/>
        </w:rPr>
        <w:t>действующего</w:t>
      </w:r>
      <w:r>
        <w:rPr>
          <w:highlight w:val="none"/>
          <w:lang w:val="en-US"/>
        </w:rPr>
        <w:t xml:space="preserve"> </w:t>
      </w:r>
      <w:r>
        <w:rPr>
          <w:highlight w:val="none"/>
        </w:rPr>
        <w:t>на</w:t>
      </w:r>
      <w:r>
        <w:rPr>
          <w:highlight w:val="none"/>
          <w:lang w:val="en-US"/>
        </w:rPr>
        <w:t xml:space="preserve"> </w:t>
      </w:r>
      <w:r>
        <w:rPr>
          <w:highlight w:val="none"/>
        </w:rPr>
        <w:t>основании</w:t>
      </w:r>
      <w:r>
        <w:rPr>
          <w:highlight w:val="none"/>
          <w:lang w:val="en-US"/>
        </w:rPr>
        <w:t xml:space="preserve"> ________________, </w:t>
      </w:r>
      <w:r>
        <w:rPr>
          <w:highlight w:val="none"/>
        </w:rPr>
        <w:t>с</w:t>
      </w:r>
      <w:r>
        <w:rPr>
          <w:highlight w:val="none"/>
          <w:lang w:val="en-US"/>
        </w:rPr>
        <w:t xml:space="preserve"> </w:t>
      </w:r>
      <w:r>
        <w:rPr>
          <w:highlight w:val="none"/>
        </w:rPr>
        <w:t>другой</w:t>
      </w:r>
      <w:r>
        <w:rPr>
          <w:highlight w:val="none"/>
          <w:lang w:val="en-US"/>
        </w:rPr>
        <w:t xml:space="preserve"> </w:t>
      </w:r>
      <w:r>
        <w:rPr>
          <w:highlight w:val="none"/>
        </w:rPr>
        <w:t>стороны</w:t>
      </w:r>
      <w:r>
        <w:rPr>
          <w:highlight w:val="none"/>
          <w:lang w:val="en-US"/>
        </w:rPr>
        <w:t xml:space="preserve">, </w:t>
      </w:r>
      <w:r>
        <w:rPr>
          <w:highlight w:val="none"/>
        </w:rPr>
        <w:t>а</w:t>
      </w:r>
      <w:r>
        <w:rPr>
          <w:highlight w:val="none"/>
          <w:lang w:val="en-US"/>
        </w:rPr>
        <w:t xml:space="preserve"> </w:t>
      </w:r>
      <w:r>
        <w:rPr>
          <w:highlight w:val="none"/>
        </w:rPr>
        <w:t>вместе</w:t>
      </w:r>
      <w:r>
        <w:rPr>
          <w:highlight w:val="none"/>
          <w:lang w:val="en-US"/>
        </w:rPr>
        <w:t xml:space="preserve"> </w:t>
      </w:r>
      <w:r>
        <w:rPr>
          <w:highlight w:val="none"/>
        </w:rPr>
        <w:t>именуемые</w:t>
      </w:r>
      <w:r>
        <w:rPr>
          <w:highlight w:val="none"/>
          <w:lang w:val="en-US"/>
        </w:rPr>
        <w:t xml:space="preserve"> «</w:t>
      </w:r>
      <w:r>
        <w:rPr>
          <w:highlight w:val="none"/>
        </w:rPr>
        <w:t>Стороны</w:t>
      </w:r>
      <w:r>
        <w:rPr>
          <w:highlight w:val="none"/>
          <w:lang w:val="en-US"/>
        </w:rPr>
        <w:t xml:space="preserve">» </w:t>
      </w:r>
      <w:r>
        <w:rPr>
          <w:highlight w:val="none"/>
        </w:rPr>
        <w:t>и</w:t>
      </w:r>
      <w:r>
        <w:rPr>
          <w:highlight w:val="none"/>
          <w:lang w:val="en-US"/>
        </w:rPr>
        <w:t xml:space="preserve"> </w:t>
      </w:r>
      <w:r>
        <w:rPr>
          <w:highlight w:val="none"/>
        </w:rPr>
        <w:t>каждый</w:t>
      </w:r>
      <w:r>
        <w:rPr>
          <w:highlight w:val="none"/>
          <w:lang w:val="en-US"/>
        </w:rPr>
        <w:t xml:space="preserve"> </w:t>
      </w:r>
      <w:r>
        <w:rPr>
          <w:highlight w:val="none"/>
        </w:rPr>
        <w:t>в</w:t>
      </w:r>
      <w:r>
        <w:rPr>
          <w:highlight w:val="none"/>
          <w:lang w:val="en-US"/>
        </w:rPr>
        <w:t xml:space="preserve"> </w:t>
      </w:r>
      <w:r>
        <w:rPr>
          <w:highlight w:val="none"/>
        </w:rPr>
        <w:t>отдельности</w:t>
      </w:r>
      <w:r>
        <w:rPr>
          <w:highlight w:val="none"/>
          <w:lang w:val="en-US"/>
        </w:rPr>
        <w:t xml:space="preserve"> «</w:t>
      </w:r>
      <w:r>
        <w:rPr>
          <w:highlight w:val="none"/>
        </w:rPr>
        <w:t>Сторона</w:t>
      </w:r>
      <w:r>
        <w:rPr>
          <w:highlight w:val="none"/>
          <w:lang w:val="en-US"/>
        </w:rPr>
        <w:t xml:space="preserve">», </w:t>
      </w:r>
      <w:r>
        <w:rPr>
          <w:highlight w:val="none"/>
        </w:rPr>
        <w:t>с</w:t>
      </w:r>
      <w:r>
        <w:rPr>
          <w:highlight w:val="none"/>
          <w:lang w:val="en-US"/>
        </w:rPr>
        <w:t xml:space="preserve"> </w:t>
      </w:r>
      <w:r>
        <w:rPr>
          <w:highlight w:val="none"/>
        </w:rPr>
        <w:t>соблюдением</w:t>
      </w:r>
      <w:r>
        <w:rPr>
          <w:highlight w:val="none"/>
          <w:lang w:val="en-US"/>
        </w:rPr>
        <w:t xml:space="preserve"> </w:t>
      </w:r>
      <w:r>
        <w:rPr>
          <w:highlight w:val="none"/>
        </w:rPr>
        <w:t>требований</w:t>
      </w:r>
      <w:r>
        <w:rPr>
          <w:highlight w:val="none"/>
          <w:lang w:val="en-US"/>
        </w:rPr>
        <w:t xml:space="preserve"> </w:t>
      </w:r>
      <w:r>
        <w:rPr>
          <w:highlight w:val="none"/>
        </w:rPr>
        <w:t>Гражданского</w:t>
      </w:r>
      <w:r>
        <w:rPr>
          <w:highlight w:val="none"/>
          <w:lang w:val="en-US"/>
        </w:rPr>
        <w:t xml:space="preserve"> </w:t>
      </w:r>
      <w:r>
        <w:rPr>
          <w:highlight w:val="none"/>
        </w:rPr>
        <w:t>кодекса</w:t>
      </w:r>
      <w:r>
        <w:rPr>
          <w:highlight w:val="none"/>
          <w:lang w:val="en-US"/>
        </w:rPr>
        <w:t xml:space="preserve"> </w:t>
      </w:r>
      <w:r>
        <w:rPr>
          <w:highlight w:val="none"/>
        </w:rPr>
        <w:t>Российской</w:t>
      </w:r>
      <w:r>
        <w:rPr>
          <w:highlight w:val="none"/>
          <w:lang w:val="en-US"/>
        </w:rPr>
        <w:t xml:space="preserve"> </w:t>
      </w:r>
      <w:r>
        <w:rPr>
          <w:highlight w:val="none"/>
        </w:rPr>
        <w:t>Федерации</w:t>
      </w:r>
      <w:r>
        <w:rPr>
          <w:highlight w:val="none"/>
          <w:lang w:val="en-US"/>
        </w:rPr>
        <w:t xml:space="preserve"> (</w:t>
      </w:r>
      <w:r>
        <w:rPr>
          <w:highlight w:val="none"/>
        </w:rPr>
        <w:t>далее</w:t>
      </w:r>
      <w:r>
        <w:rPr>
          <w:highlight w:val="none"/>
          <w:lang w:val="en-US"/>
        </w:rPr>
        <w:t xml:space="preserve"> – </w:t>
      </w:r>
      <w:r>
        <w:rPr>
          <w:highlight w:val="none"/>
        </w:rPr>
        <w:t>Гражданский</w:t>
      </w:r>
      <w:r>
        <w:rPr>
          <w:highlight w:val="none"/>
          <w:lang w:val="en-US"/>
        </w:rPr>
        <w:t xml:space="preserve"> </w:t>
      </w:r>
      <w:r>
        <w:rPr>
          <w:highlight w:val="none"/>
        </w:rPr>
        <w:t>кодекс</w:t>
      </w:r>
      <w:r>
        <w:rPr>
          <w:highlight w:val="none"/>
          <w:lang w:val="en-US"/>
        </w:rPr>
        <w:t xml:space="preserve">), </w:t>
      </w:r>
      <w:r>
        <w:rPr>
          <w:highlight w:val="none"/>
          <w:lang w:val="en-US"/>
        </w:rPr>
        <w:t xml:space="preserve">Федерального закона от 18.07.2011 № 223-ФЗ «О закупках товаров, работ, услуг отдельными видами юридических лиц»</w:t>
      </w:r>
      <w:r>
        <w:rPr>
          <w:rFonts w:hint="default"/>
          <w:highlight w:val="none"/>
          <w:lang w:val="en-US"/>
        </w:rPr>
        <w:t/>
      </w:r>
      <w:r>
        <w:rPr>
          <w:rFonts w:hint="default"/>
          <w:highlight w:val="none"/>
          <w:lang w:val="ru-RU"/>
        </w:rPr>
        <w:t/>
      </w:r>
      <w:r>
        <w:rPr>
          <w:highlight w:val="none"/>
          <w:lang w:val="en-US"/>
        </w:rPr>
        <w:t xml:space="preserve"/>
      </w:r>
      <w:r>
        <w:rPr>
          <w:highlight w:val="none"/>
          <w:lang w:val="en-US"/>
        </w:rPr>
        <w:t xml:space="preserve"> </w:t>
      </w:r>
      <w:r>
        <w:rPr>
          <w:highlight w:val="none"/>
        </w:rPr>
        <w:t>и</w:t>
      </w:r>
      <w:r>
        <w:rPr>
          <w:highlight w:val="none"/>
          <w:lang w:val="en-US"/>
        </w:rPr>
        <w:t xml:space="preserve"> </w:t>
      </w:r>
      <w:r>
        <w:rPr>
          <w:highlight w:val="none"/>
        </w:rPr>
        <w:t>иных</w:t>
      </w:r>
      <w:r>
        <w:rPr>
          <w:highlight w:val="none"/>
          <w:lang w:val="en-US"/>
        </w:rPr>
        <w:t xml:space="preserve"> </w:t>
      </w:r>
      <w:r>
        <w:rPr>
          <w:highlight w:val="none"/>
        </w:rPr>
        <w:t>правовых</w:t>
      </w:r>
      <w:r>
        <w:rPr>
          <w:highlight w:val="none"/>
          <w:lang w:val="en-US"/>
        </w:rPr>
        <w:t xml:space="preserve"> </w:t>
      </w:r>
      <w:r>
        <w:rPr>
          <w:highlight w:val="none"/>
        </w:rPr>
        <w:t>актов</w:t>
      </w:r>
      <w:r>
        <w:rPr>
          <w:highlight w:val="none"/>
          <w:lang w:val="en-US"/>
        </w:rPr>
        <w:t xml:space="preserve"> </w:t>
      </w:r>
      <w:r>
        <w:rPr>
          <w:highlight w:val="none"/>
        </w:rPr>
        <w:t>Российской</w:t>
      </w:r>
      <w:r>
        <w:rPr>
          <w:highlight w:val="none"/>
          <w:lang w:val="en-US"/>
        </w:rPr>
        <w:t xml:space="preserve"> </w:t>
      </w:r>
      <w:r>
        <w:rPr>
          <w:highlight w:val="none"/>
        </w:rPr>
        <w:t>Федерации</w:t>
      </w:r>
      <w:r>
        <w:rPr>
          <w:highlight w:val="none"/>
          <w:lang w:val="en-US"/>
        </w:rPr>
        <w:t xml:space="preserve"> </w:t>
      </w:r>
      <w:r>
        <w:rPr>
          <w:highlight w:val="none"/>
        </w:rPr>
        <w:t>и</w:t>
      </w:r>
      <w:r>
        <w:rPr>
          <w:highlight w:val="none"/>
          <w:lang w:val="en-US"/>
        </w:rPr>
        <w:t xml:space="preserve"> </w:t>
      </w:r>
      <w:r>
        <w:rPr>
          <w:highlight w:val="none"/>
        </w:rPr>
        <w:t>Московской</w:t>
      </w:r>
      <w:r>
        <w:rPr>
          <w:highlight w:val="none"/>
          <w:lang w:val="en-US"/>
        </w:rPr>
        <w:t xml:space="preserve"> </w:t>
      </w:r>
      <w:r>
        <w:rPr>
          <w:highlight w:val="none"/>
        </w:rPr>
        <w:t>области</w:t>
      </w:r>
      <w:r>
        <w:rPr>
          <w:highlight w:val="none"/>
          <w:lang w:val="en-US"/>
        </w:rPr>
        <w:t xml:space="preserve">, </w:t>
      </w:r>
      <w:r>
        <w:rPr>
          <w:highlight w:val="none"/>
        </w:rPr>
        <w:t>на</w:t>
      </w:r>
      <w:r>
        <w:rPr>
          <w:highlight w:val="none"/>
          <w:lang w:val="en-US"/>
        </w:rPr>
        <w:t xml:space="preserve"> </w:t>
      </w:r>
      <w:r>
        <w:rPr>
          <w:highlight w:val="none"/>
        </w:rPr>
        <w:t>основании</w:t>
      </w:r>
      <w:r>
        <w:rPr>
          <w:highlight w:val="none"/>
          <w:lang w:val="en-US"/>
        </w:rPr>
        <w:t xml:space="preserve"> </w:t>
      </w:r>
      <w:r>
        <w:rPr>
          <w:highlight w:val="none"/>
          <w:lang w:val="en-US"/>
        </w:rPr>
        <w:t xml:space="preserve">п.п. 60.1.39. Положения о закупке Государственного Автономного Учреждения Культуры Московской Области "Государственный историко-литературный музей-заповедник А.С. Пушкина"</w:t>
      </w:r>
      <w:r>
        <w:rPr>
          <w:highlight w:val="none"/>
          <w:lang w:val="en-US" w:eastAsia="en-US"/>
        </w:rPr>
        <w:t xml:space="preserve"> (</w:t>
      </w:r>
      <w:r>
        <w:rPr>
          <w:highlight w:val="none"/>
          <w:lang w:eastAsia="en-US"/>
        </w:rPr>
        <w:t>далее</w:t>
      </w:r>
      <w:r>
        <w:rPr>
          <w:highlight w:val="none"/>
          <w:lang w:val="en-US" w:eastAsia="en-US"/>
        </w:rPr>
        <w:t xml:space="preserve"> – </w:t>
      </w:r>
      <w:r>
        <w:rPr>
          <w:highlight w:val="none"/>
          <w:lang w:eastAsia="en-US"/>
        </w:rPr>
        <w:t>закупка</w:t>
      </w:r>
      <w:r>
        <w:rPr>
          <w:highlight w:val="none"/>
          <w:lang w:val="en-US" w:eastAsia="en-US"/>
        </w:rPr>
        <w:t xml:space="preserve">), </w:t>
      </w:r>
      <w:r>
        <w:rPr>
          <w:highlight w:val="none"/>
          <w:lang w:eastAsia="en-US"/>
        </w:rPr>
        <w:t>заключили</w:t>
      </w:r>
      <w:r>
        <w:rPr>
          <w:highlight w:val="none"/>
          <w:lang w:val="en-US" w:eastAsia="en-US"/>
        </w:rPr>
        <w:t xml:space="preserve"> </w:t>
      </w:r>
      <w:r>
        <w:rPr>
          <w:highlight w:val="none"/>
          <w:lang w:eastAsia="en-US"/>
        </w:rPr>
        <w:t>настоящий</w:t>
      </w:r>
      <w:r>
        <w:rPr>
          <w:highlight w:val="none"/>
          <w:lang w:val="en-US" w:eastAsia="en-US"/>
        </w:rPr>
        <w:t xml:space="preserve"> </w:t>
      </w:r>
      <w:r>
        <w:rPr>
          <w:highlight w:val="none"/>
          <w:lang w:val="en-US"/>
        </w:rPr>
        <w:t xml:space="preserve"/>
      </w:r>
      <w:r>
        <w:rPr>
          <w:highlight w:val="none"/>
          <w:lang w:val="en-US" w:eastAsia="en-US"/>
        </w:rPr>
        <w:t xml:space="preserve">договор (</w:t>
      </w:r>
      <w:r>
        <w:rPr>
          <w:highlight w:val="none"/>
          <w:lang w:eastAsia="en-US"/>
        </w:rPr>
        <w:t>далее</w:t>
      </w:r>
      <w:r>
        <w:rPr>
          <w:highlight w:val="none"/>
          <w:lang w:val="en-US" w:eastAsia="en-US"/>
        </w:rPr>
        <w:t xml:space="preserve"> – Договор) </w:t>
      </w:r>
      <w:r>
        <w:rPr>
          <w:highlight w:val="none"/>
          <w:lang w:eastAsia="en-US"/>
        </w:rPr>
        <w:t>о</w:t>
      </w:r>
      <w:r>
        <w:rPr>
          <w:highlight w:val="none"/>
          <w:lang w:val="en-US" w:eastAsia="en-US"/>
        </w:rPr>
        <w:t xml:space="preserve"> </w:t>
      </w:r>
      <w:r>
        <w:rPr>
          <w:highlight w:val="none"/>
          <w:lang w:eastAsia="en-US"/>
        </w:rPr>
        <w:t>нижеследующем</w:t>
      </w:r>
      <w:r>
        <w:rPr>
          <w:highlight w:val="none"/>
          <w:lang w:val="en-US" w:eastAsia="en-US"/>
        </w:rPr>
        <w:t>.</w:t>
      </w:r>
    </w:p>
    <w:p w14:paraId="6A7841B3">
      <w:pPr>
        <w:pStyle w:val="31"/>
        <w:shd w:val="clear"/>
        <w:rPr>
          <w:highlight w:val="none"/>
        </w:rPr>
      </w:pPr>
      <w:r>
        <w:rPr>
          <w:highlight w:val="none"/>
        </w:rPr>
        <w:t xml:space="preserve">Предмет Договора</w:t>
      </w:r>
    </w:p>
    <w:p>
      <w:r>
        <w:t>1.1. Лицензиар обязуется в обусловленные Договором сроки предоставить Лизензиату право использования на условиях простой (неисключительной) лицензии ПО «Отраслевой информационный ресурс» в составе «Электронный сервис «РАМЗЭС 2.0» в составе, указанном в приложении 1 к Договору «Сведения об объектах закупки» (далее – Объект), в предусмотренных Договором пределах (далее – Лицензия, услуги), а Лизензиат обязуется принять и оплатить Лицензию, в порядке и в соответствии с условиями, предусмотренными Договором.</w:t>
      </w:r>
    </w:p>
    <w:p>
      <w:r>
        <w:t>1.2. Лицензиар обладает правом на предоставление права использования Объекта на условиях, предусмотренных Договором, на основании: Свидетельства о государственной регистрации программ для ЭВМ № 2016618923 от 10 августа 2016 г..</w:t>
      </w:r>
    </w:p>
    <w:p>
      <w:r>
        <w:t>Объект зарегистрирован в Едином реестре российских программ для электронных вычислительных машин и баз данных за номером: № 3566 от 18.05.2017 г..</w:t>
      </w:r>
    </w:p>
    <w:p>
      <w:r>
        <w:t>1.3. Территория, на которой допускается использование Объекта: Российская Федерация.</w:t>
      </w:r>
    </w:p>
    <w:p>
      <w:r>
        <w:t>1.4. Способы использования Объекта: применять по прямому функциональному назначению в зависимости от функционала, соответствующего техническому заданию (приложение № 5 к Контракту) и в соответствии с Пользовательским соглашением Правообладателя, размещенного на официальном сайте Правообладателя, использовать определенный Лицензиаром состав функций путем ввода и коррекции данных в интерфейсных формах Лицензиата, формирования внутрипрограммного объема числовых и текстовых данных, а также пользовательских шаблонов и настроек; использовать определенный ТЗ функционал для работы учреждений, прямо указанных в Техническом задании (Приложение № 5 к Контракту); использовать Объект с персонального компьютера (клиентской рабочей станции), подключенного к Интернету и соответствующего требованиям, установленным в Пользовательском соглашении Правообладателя, размещенного на официальном сайте Правообладателя; размещать в любом участке Объекта информацию, электронные файлы и документы, не запрещенные законодательством Российской Федерации. Иные способы использования Объекта регулируются ст. 1280 ГК РФ.</w:t>
      </w:r>
    </w:p>
    <w:p>
      <w:r>
        <w:t>1.5. Срок действия Лицензии и иные характеристики передаваемых прав использования, подлежащих предоставлению, требования к Объекту, требования к обслуживанию, которое должно осуществляться в период действия Лицензии, определяются Договором, в том числе Описанием предмета закупки (Техническим заданием), являющимся приложением 5 к Договору (далее – Техническое задание).</w:t>
      </w:r>
    </w:p>
    <w:p>
      <w:r>
        <w:t>Если иное не установлено Договором Лицензия не дает право получения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14:paraId="653109E6">
      <w:pPr>
        <w:pStyle w:val="31"/>
        <w:shd w:val="clear"/>
        <w:rPr>
          <w:highlight w:val="none"/>
        </w:rPr>
      </w:pPr>
      <w:r>
        <w:rPr>
          <w:rFonts w:hint="default"/>
          <w:highlight w:val="none"/>
        </w:rPr>
        <w:t xml:space="preserve">Цена Договора, порядок и сроки оплаты</w:t>
      </w:r>
    </w:p>
    <w:p>
      <w:r>
        <w:t>2.1. Цена Договора составляет ________________, ________________  &lt;1&gt; (далее – Цена Договора).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Лицензиар использует право на освобождение от исполнения обязанностей налогоплательщика, связанных с исчислением и уплатой НДС, Лицензиар не признается налогоплательщиком НДС указывается - «НДС не облагается».</w:t>
      </w:r>
    </w:p>
    <w:p>
      <w:r>
        <w:t/>
      </w:r>
    </w:p>
    <w:p>
      <w:r>
        <w:t>2.2. Цена Договора является твердой и определена на весь срок исполнения Договора.</w:t>
      </w:r>
    </w:p>
    <w:p>
      <w:r>
        <w:t>2.3. Цена Договора включает в себя вознаграждение Лицензиара за предоставление прав использования Объекта, расходы на страхование, уплату таможенных пошлин, налогов, сборов и других обязательных платежей, а также иные расходы Лицензиара, связанные с исполнением Договора.</w:t>
      </w:r>
    </w:p>
    <w:p>
      <w:r>
        <w:t>2.4. Сумма, подлежащая уплате Лизензиатом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Лизензиатом.</w:t>
      </w:r>
    </w:p>
    <w:p>
      <w:r>
        <w:t>2.5. Порядок и сроки оплаты оказанных услуг установлены в разделе «Порядок и сроки оплаты» приложения 2 к Договору.</w:t>
      </w:r>
    </w:p>
    <w:p>
      <w:r>
        <w:t>2.6. Оплата оказанных услуг Лизензиатом осуществляется в рублях Российской Федерации в пределах Цены Договора в сроки и в размерах, которые установлены Договором, путем перечисления денежных средств на счет Лицензиара, реквизиты которого приведены в Договоре, за вычетом суммы выплаченного аванса (если Договором предусмотрена выплата аванса).</w:t>
      </w:r>
    </w:p>
    <w:p w14:paraId="53D958F0">
      <w:pPr>
        <w:shd w:val="clear"/>
        <w:bidi w:val="0"/>
        <w:rPr>
          <w:highlight w:val="none"/>
          <w:lang w:eastAsia="en-US"/>
        </w:rPr>
      </w:pPr>
      <w:r>
        <w:rPr>
          <w:rFonts w:hint="default"/>
          <w:highlight w:val="none"/>
          <w:lang w:val="ru-RU" w:eastAsia="en-US"/>
        </w:rPr>
        <w:t xml:space="preserve">2.7. </w:t>
      </w:r>
      <w:r>
        <w:rPr>
          <w:rFonts w:hint="default"/>
          <w:highlight w:val="none"/>
          <w:lang w:eastAsia="en-US"/>
        </w:rPr>
        <w:t xml:space="preserve">Обязательства Лизензиата по оплате считаются исполненными с момента списания денежных средств со счета Лизензиата.</w:t>
      </w:r>
    </w:p>
    <w:p w14:paraId="5746F9AD">
      <w:pPr>
        <w:shd w:val="clear"/>
        <w:bidi w:val="0"/>
        <w:rPr>
          <w:highlight w:val="none"/>
          <w:lang w:eastAsia="en-US"/>
        </w:rPr>
      </w:pPr>
      <w:r>
        <w:rPr>
          <w:rFonts w:hint="default"/>
          <w:highlight w:val="none"/>
          <w:lang w:val="ru-RU" w:eastAsia="en-US"/>
        </w:rPr>
        <w:t xml:space="preserve">2.8. </w:t>
      </w:r>
      <w:r>
        <w:rPr>
          <w:highlight w:val="none"/>
          <w:lang w:eastAsia="en-US"/>
        </w:rPr>
        <w:t>Источник</w:t>
      </w:r>
      <w:r>
        <w:rPr>
          <w:highlight w:val="none"/>
          <w:lang w:val="ru-RU" w:eastAsia="en-US"/>
        </w:rPr>
        <w:t>и</w:t>
      </w:r>
      <w:r>
        <w:rPr>
          <w:highlight w:val="none"/>
          <w:lang w:eastAsia="en-US"/>
        </w:rPr>
        <w:t xml:space="preserve"> финансирования:</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654"/>
        <w:gridCol w:w="740"/>
      </w:tblGrid>
      <w:tr w14:paraId="6979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FA33D17">
            <w:pPr>
              <w:shd w:val="clear"/>
              <w:ind w:firstLine="0"/>
              <w:jc w:val="center"/>
              <w:rPr>
                <w:highlight w:val="none"/>
                <w:lang w:val="ru-RU" w:eastAsia="en-US"/>
              </w:rPr>
            </w:pPr>
            <w:r>
              <w:rPr>
                <w:highlight w:val="none"/>
                <w:lang w:val="ru-RU" w:eastAsia="en-US"/>
              </w:rPr>
              <w:t>Бюджет \ Внебюджетные средства</w:t>
            </w:r>
          </w:p>
        </w:tc>
        <w:tc>
          <w:tcPr>
            <w:tcW w:w="1560" w:type="dxa"/>
            <w:vAlign w:val="center"/>
          </w:tcPr>
          <w:p w14:paraId="146B81A3">
            <w:pPr>
              <w:shd w:val="clear"/>
              <w:ind w:firstLine="0"/>
              <w:jc w:val="center"/>
              <w:rPr>
                <w:highlight w:val="none"/>
                <w:lang w:val="en-US" w:eastAsia="en-US"/>
              </w:rPr>
            </w:pPr>
            <w:r>
              <w:rPr>
                <w:highlight w:val="none"/>
                <w:lang w:val="ru-RU" w:eastAsia="en-US"/>
              </w:rPr>
              <w:t>Тип средств</w:t>
            </w:r>
          </w:p>
        </w:tc>
        <w:tc>
          <w:tcPr>
            <w:tcW w:w="2698" w:type="dxa"/>
            <w:vAlign w:val="center"/>
          </w:tcPr>
          <w:p w14:paraId="7B58FB5D">
            <w:pPr>
              <w:shd w:val="clear"/>
              <w:ind w:firstLine="0"/>
              <w:jc w:val="center"/>
              <w:rPr>
                <w:highlight w:val="none"/>
                <w:lang w:val="ru-RU" w:eastAsia="en-US"/>
              </w:rPr>
            </w:pPr>
            <w:r>
              <w:rPr>
                <w:highlight w:val="none"/>
                <w:lang w:val="en-US" w:eastAsia="en-US"/>
              </w:rPr>
              <w:t>Код бюджетной классификации расходов</w:t>
            </w:r>
          </w:p>
        </w:tc>
        <w:tc>
          <w:tcPr>
            <w:tcW w:w="1994" w:type="dxa"/>
            <w:vAlign w:val="center"/>
          </w:tcPr>
          <w:p w14:paraId="1FB024FC">
            <w:pPr>
              <w:shd w:val="clear"/>
              <w:ind w:firstLine="0"/>
              <w:jc w:val="center"/>
              <w:rPr>
                <w:highlight w:val="none"/>
                <w:lang w:val="en-US" w:eastAsia="en-US"/>
              </w:rPr>
            </w:pPr>
            <w:r>
              <w:rPr>
                <w:highlight w:val="none"/>
                <w:lang w:val="en-US" w:eastAsia="en-US"/>
              </w:rPr>
              <w:t>Сумма, руб.</w:t>
            </w:r>
          </w:p>
        </w:tc>
        <w:tc>
          <w:tcPr>
            <w:tcW w:w="1654" w:type="dxa"/>
            <w:vAlign w:val="center"/>
          </w:tcPr>
          <w:p w14:paraId="43879750">
            <w:pPr>
              <w:shd w:val="clear"/>
              <w:ind w:firstLine="0"/>
              <w:jc w:val="center"/>
              <w:rPr>
                <w:highlight w:val="none"/>
                <w:lang w:val="ru-RU" w:eastAsia="en-US"/>
              </w:rPr>
            </w:pPr>
            <w:r>
              <w:rPr>
                <w:highlight w:val="none"/>
                <w:lang w:val="ru-RU" w:eastAsia="en-US"/>
              </w:rPr>
              <w:t>Лицевой счет</w:t>
            </w:r>
          </w:p>
        </w:tc>
        <w:tc>
          <w:tcPr>
            <w:tcW w:w="740" w:type="dxa"/>
            <w:vAlign w:val="center"/>
          </w:tcPr>
          <w:p w14:paraId="43C4A1A4">
            <w:pPr>
              <w:shd w:val="clear"/>
              <w:ind w:firstLine="0"/>
              <w:jc w:val="center"/>
              <w:rPr>
                <w:highlight w:val="none"/>
                <w:lang w:val="en-US" w:eastAsia="en-US"/>
              </w:rPr>
            </w:pPr>
            <w:r>
              <w:rPr>
                <w:highlight w:val="none"/>
                <w:lang w:val="en-US" w:eastAsia="en-US"/>
              </w:rPr>
              <w:t>Год</w:t>
            </w:r>
          </w:p>
        </w:tc>
      </w:tr>
      <w:tr w14:paraId="3502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ED02A04">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p>
          <w:p w14:paraId="22E8C926">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Средства автономных учреждений (за исключением целевых) - Субсидии</w:t>
            </w:r>
            <w:r>
              <w:rPr>
                <w:highlight w:val="none"/>
                <w:lang w:val="ru-RU"/>
              </w:rPr>
              <w:t/>
            </w:r>
            <w:r>
              <w:rPr>
                <w:highlight w:val="none"/>
                <w:lang w:val="en-US"/>
              </w:rPr>
              <w:t xml:space="preserve"/>
            </w:r>
          </w:p>
          <w:p w14:paraId="57798DA5">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p w14:paraId="074503FA">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tc>
        <w:tc>
          <w:tcPr>
            <w:tcW w:w="1560" w:type="dxa"/>
            <w:vAlign w:val="center"/>
          </w:tcPr>
          <w:p w14:paraId="7DB6311C">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en-US"/>
              </w:rPr>
              <w:br w:type="textWrapping"/>
            </w:r>
            <w:r>
              <w:rPr>
                <w:highlight w:val="none"/>
                <w:lang w:val="en-US"/>
              </w:rPr>
              <w:t xml:space="preserve">-</w:t>
            </w:r>
            <w:r>
              <w:rPr>
                <w:highlight w:val="none"/>
                <w:lang w:val="ru-RU"/>
              </w:rPr>
              <w:t/>
            </w:r>
            <w:r>
              <w:rPr>
                <w:highlight w:val="none"/>
                <w:lang w:val="en-US"/>
              </w:rPr>
              <w:t xml:space="preserve"/>
            </w:r>
            <w:r>
              <w:rPr>
                <w:highlight w:val="none"/>
                <w:lang w:val="en-US"/>
              </w:rPr>
              <w:br w:type="textWrapping"/>
            </w:r>
            <w:r>
              <w:rPr>
                <w:highlight w:val="none"/>
                <w:lang w:val="en-US"/>
              </w:rPr>
              <w:t xml:space="preserve"/>
            </w:r>
            <w:r>
              <w:rPr>
                <w:highlight w:val="none"/>
                <w:lang w:val="ru-RU"/>
              </w:rPr>
              <w:t/>
            </w:r>
            <w:r>
              <w:rPr>
                <w:highlight w:val="none"/>
                <w:lang w:val="en-US"/>
              </w:rPr>
              <w:t xml:space="preserve"/>
            </w:r>
            <w:r>
              <w:rPr>
                <w:highlight w:val="none"/>
                <w:lang w:val="en-US"/>
              </w:rPr>
              <w:br w:type="textWrapping"/>
            </w:r>
            <w:bookmarkStart w:id="5" w:name="_GoBack"/>
            <w:bookmarkEnd w:id="5"/>
            <w:r>
              <w:rPr>
                <w:highlight w:val="none"/>
                <w:lang w:val="en-US"/>
              </w:rPr>
              <w:t xml:space="preserve"/>
            </w:r>
            <w:r>
              <w:rPr>
                <w:highlight w:val="none"/>
                <w:lang w:val="ru-RU"/>
              </w:rPr>
              <w:t/>
            </w:r>
            <w:r>
              <w:rPr>
                <w:highlight w:val="none"/>
                <w:lang w:val="en-US"/>
              </w:rPr>
              <w:t xml:space="preserve"/>
            </w:r>
          </w:p>
        </w:tc>
        <w:tc>
          <w:tcPr>
            <w:tcW w:w="2698" w:type="dxa"/>
            <w:vAlign w:val="center"/>
          </w:tcPr>
          <w:p w14:paraId="65FF8262">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p>
          <w:p w14:paraId="1639C88A">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018-0000-0000000000-244</w:t>
            </w:r>
            <w:r>
              <w:rPr>
                <w:highlight w:val="none"/>
                <w:lang w:val="ru-RU"/>
              </w:rPr>
              <w:t/>
            </w:r>
            <w:r>
              <w:rPr>
                <w:highlight w:val="none"/>
                <w:lang w:val="en-US"/>
              </w:rPr>
              <w:t xml:space="preserve"/>
            </w:r>
          </w:p>
          <w:p w14:paraId="41CF0EEE">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p w14:paraId="5186EE37">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tc>
        <w:tc>
          <w:tcPr>
            <w:tcW w:w="1994" w:type="dxa"/>
            <w:vAlign w:val="center"/>
          </w:tcPr>
          <w:p w14:paraId="41A70372">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p>
          <w:p w14:paraId="3F3C10BE">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r>
              <w:rPr>
                <w:highlight w:val="none"/>
                <w:lang w:val="ru-RU" w:eastAsia="en-US"/>
              </w:rPr>
              <w:t/>
            </w:r>
            <w:r>
              <w:rPr>
                <w:highlight w:val="none"/>
                <w:lang w:val="en-US" w:eastAsia="en-US"/>
              </w:rPr>
              <w:t xml:space="preserve"/>
            </w:r>
          </w:p>
          <w:p w14:paraId="7E5B2B2D">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r>
              <w:rPr>
                <w:highlight w:val="none"/>
                <w:lang w:val="ru-RU" w:eastAsia="en-US"/>
              </w:rPr>
              <w:t/>
            </w:r>
            <w:r>
              <w:rPr>
                <w:highlight w:val="none"/>
                <w:lang w:val="en-US" w:eastAsia="en-US"/>
              </w:rPr>
              <w:t xml:space="preserve"/>
            </w:r>
          </w:p>
          <w:p w14:paraId="406D9550">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r>
              <w:rPr>
                <w:highlight w:val="none"/>
                <w:lang w:val="ru-RU" w:eastAsia="en-US"/>
              </w:rPr>
              <w:t/>
            </w:r>
            <w:r>
              <w:rPr>
                <w:highlight w:val="none"/>
                <w:lang w:val="en-US" w:eastAsia="en-US"/>
              </w:rPr>
              <w:t xml:space="preserve"/>
            </w:r>
          </w:p>
        </w:tc>
        <w:tc>
          <w:tcPr>
            <w:tcW w:w="1654" w:type="dxa"/>
            <w:vAlign w:val="center"/>
          </w:tcPr>
          <w:p w14:paraId="2C7E2858">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shd w:val="clear" w:color="auto" w:fill="FFFFFF"/>
                <w:lang w:val="en-US"/>
              </w:rPr>
            </w:pPr>
            <w:r>
              <w:rPr>
                <w:highlight w:val="none"/>
                <w:shd w:val="clear" w:color="auto" w:fill="FFFFFF"/>
                <w:lang w:val="en-US"/>
              </w:rPr>
              <w:t xml:space="preserve"/>
            </w:r>
            <w:r>
              <w:rPr>
                <w:highlight w:val="none"/>
                <w:lang w:val="en-AU"/>
              </w:rPr>
              <w:t/>
            </w:r>
            <w:r>
              <w:rPr>
                <w:highlight w:val="none"/>
                <w:shd w:val="clear" w:color="auto" w:fill="FFFFFF"/>
                <w:lang w:val="en-US"/>
              </w:rPr>
              <w:t xml:space="preserve"/>
            </w:r>
          </w:p>
          <w:p w14:paraId="7EDE79FA">
            <w:pPr>
              <w:keepNext w:val="0"/>
              <w:keepLines w:val="0"/>
              <w:pageBreakBefore w:val="0"/>
              <w:widowControl/>
              <w:shd w:val="clear"/>
              <w:kinsoku/>
              <w:wordWrap/>
              <w:overflowPunct/>
              <w:topLinePunct w:val="0"/>
              <w:autoSpaceDE/>
              <w:autoSpaceDN/>
              <w:bidi w:val="0"/>
              <w:adjustRightInd/>
              <w:snapToGrid/>
              <w:ind w:firstLine="0"/>
              <w:jc w:val="center"/>
              <w:textAlignment w:val="auto"/>
              <w:rPr>
                <w:rFonts w:cstheme="minorHAnsi"/>
                <w:highlight w:val="none"/>
                <w:shd w:val="clear" w:color="auto" w:fill="FFFFFF"/>
                <w:lang w:val="en-US"/>
              </w:rPr>
            </w:pPr>
            <w:r>
              <w:rPr>
                <w:rFonts w:cstheme="minorHAnsi"/>
                <w:highlight w:val="none"/>
                <w:shd w:val="clear" w:color="auto" w:fill="FFFFFF"/>
                <w:lang w:val="en-US"/>
              </w:rPr>
              <w:t xml:space="preserve">Министерство экономики и финансов Московской области (ГАУК МО «Государственный историко-литературный музей-заповедник А.С. Пушкина» л/с 30018J02840)</w:t>
            </w:r>
            <w:r>
              <w:rPr>
                <w:rFonts w:cstheme="minorHAnsi"/>
                <w:color w:val="222222"/>
                <w:highlight w:val="none"/>
                <w:shd w:val="clear" w:color="auto" w:fill="FFFFFF"/>
                <w:lang w:val="en-US"/>
              </w:rPr>
              <w:t/>
            </w:r>
            <w:r>
              <w:rPr>
                <w:rFonts w:cstheme="minorHAnsi"/>
                <w:color w:val="222222"/>
                <w:highlight w:val="none"/>
                <w:shd w:val="clear" w:color="auto" w:fill="FFFFFF"/>
                <w:lang w:val="ru-RU"/>
              </w:rPr>
              <w:t/>
            </w:r>
            <w:r>
              <w:rPr>
                <w:rFonts w:cstheme="minorHAnsi"/>
                <w:highlight w:val="none"/>
                <w:shd w:val="clear" w:color="auto" w:fill="FFFFFF"/>
                <w:lang w:val="en-US"/>
              </w:rPr>
              <w:t xml:space="preserve"/>
            </w:r>
          </w:p>
          <w:p w14:paraId="37FA6CFF">
            <w:pPr>
              <w:keepNext w:val="0"/>
              <w:keepLines w:val="0"/>
              <w:pageBreakBefore w:val="0"/>
              <w:widowControl/>
              <w:shd w:val="clear"/>
              <w:kinsoku/>
              <w:wordWrap/>
              <w:overflowPunct/>
              <w:topLinePunct w:val="0"/>
              <w:autoSpaceDE/>
              <w:autoSpaceDN/>
              <w:bidi w:val="0"/>
              <w:adjustRightInd/>
              <w:snapToGrid/>
              <w:ind w:firstLine="0"/>
              <w:jc w:val="center"/>
              <w:textAlignment w:val="auto"/>
              <w:rPr>
                <w:rFonts w:cstheme="minorHAnsi"/>
                <w:highlight w:val="none"/>
                <w:shd w:val="clear" w:color="auto" w:fill="FFFFFF"/>
                <w:lang w:val="en-US"/>
              </w:rPr>
            </w:pPr>
            <w:r>
              <w:rPr>
                <w:rFonts w:cstheme="minorHAnsi"/>
                <w:highlight w:val="none"/>
                <w:shd w:val="clear" w:color="auto" w:fill="FFFFFF"/>
                <w:lang w:val="en-US"/>
              </w:rPr>
              <w:t xml:space="preserve"/>
            </w:r>
            <w:r>
              <w:rPr>
                <w:rFonts w:cstheme="minorHAnsi"/>
                <w:color w:val="222222"/>
                <w:highlight w:val="none"/>
                <w:shd w:val="clear" w:color="auto" w:fill="FFFFFF"/>
                <w:lang w:val="en-US"/>
              </w:rPr>
              <w:t/>
            </w:r>
            <w:r>
              <w:rPr>
                <w:rFonts w:cstheme="minorHAnsi"/>
                <w:color w:val="222222"/>
                <w:highlight w:val="none"/>
                <w:shd w:val="clear" w:color="auto" w:fill="FFFFFF"/>
                <w:lang w:val="ru-RU"/>
              </w:rPr>
              <w:t/>
            </w:r>
            <w:r>
              <w:rPr>
                <w:rFonts w:cstheme="minorHAnsi"/>
                <w:highlight w:val="none"/>
                <w:shd w:val="clear" w:color="auto" w:fill="FFFFFF"/>
                <w:lang w:val="en-US"/>
              </w:rPr>
              <w:t xml:space="preserve"/>
            </w:r>
          </w:p>
          <w:p w14:paraId="4705F607">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shd w:val="clear" w:color="auto" w:fill="FFFFFF"/>
                <w:lang w:val="en-US"/>
              </w:rPr>
            </w:pPr>
            <w:r>
              <w:rPr>
                <w:rFonts w:cstheme="minorHAnsi"/>
                <w:highlight w:val="none"/>
                <w:shd w:val="clear" w:color="auto" w:fill="FFFFFF"/>
                <w:lang w:val="en-US"/>
              </w:rPr>
              <w:t xml:space="preserve"/>
            </w:r>
            <w:r>
              <w:rPr>
                <w:rFonts w:cstheme="minorHAnsi"/>
                <w:color w:val="222222"/>
                <w:highlight w:val="none"/>
                <w:shd w:val="clear" w:color="auto" w:fill="FFFFFF"/>
                <w:lang w:val="en-US"/>
              </w:rPr>
              <w:t/>
            </w:r>
            <w:r>
              <w:rPr>
                <w:rFonts w:cstheme="minorHAnsi"/>
                <w:color w:val="222222"/>
                <w:highlight w:val="none"/>
                <w:shd w:val="clear" w:color="auto" w:fill="FFFFFF"/>
                <w:lang w:val="ru-RU"/>
              </w:rPr>
              <w:t/>
            </w:r>
            <w:r>
              <w:rPr>
                <w:rFonts w:cstheme="minorHAnsi"/>
                <w:highlight w:val="none"/>
                <w:shd w:val="clear" w:color="auto" w:fill="FFFFFF"/>
                <w:lang w:val="en-US"/>
              </w:rPr>
              <w:t xml:space="preserve"/>
            </w:r>
          </w:p>
        </w:tc>
        <w:tc>
          <w:tcPr>
            <w:tcW w:w="740" w:type="dxa"/>
            <w:vAlign w:val="center"/>
          </w:tcPr>
          <w:p w14:paraId="114FDAC2">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eastAsia="en-US"/>
              </w:rPr>
              <w:t xml:space="preserve"/>
            </w:r>
            <w:r>
              <w:rPr>
                <w:highlight w:val="none"/>
                <w:lang w:val="en-US"/>
              </w:rPr>
              <w:t/>
            </w:r>
          </w:p>
          <w:p w14:paraId="307EA0BB">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2026</w:t>
            </w:r>
          </w:p>
          <w:p w14:paraId="04E8FC1B">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p>
          <w:p w14:paraId="4ABC4DD3">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p>
        </w:tc>
      </w:tr>
    </w:tbl>
    <w:p w14:paraId="0BAFB7B9">
      <w:pPr>
        <w:shd w:val="clear"/>
        <w:bidi w:val="0"/>
        <w:rPr>
          <w:rFonts w:hint="default"/>
          <w:highlight w:val="none"/>
          <w:lang w:eastAsia="en-US"/>
        </w:rPr>
      </w:pPr>
      <w:r>
        <w:rPr>
          <w:rFonts w:hint="default"/>
          <w:highlight w:val="none"/>
          <w:lang w:eastAsia="en-US"/>
        </w:rPr>
        <w:t xml:space="preserve">2.9. Условие об удержании Лизензиатом суммы неисполненных Лицензиаром требований об уплате неустоек (штрафов, пеней) из суммы, подлежащей оплате Лицензиару, содержится в разделе «Порядок и сроки оплаты» приложения 2 к Договору. Лизензиат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 </w:t>
      </w:r>
      <w:r>
        <w:rPr>
          <w:rFonts w:hint="default"/>
          <w:highlight w:val="none"/>
          <w:lang w:eastAsia="en-US"/>
        </w:rPr>
        <w:t xml:space="preserve"/>
      </w:r>
      <w:r>
        <w:rPr>
          <w:rFonts w:hint="default"/>
          <w:highlight w:val="none"/>
          <w:lang w:val="ru-RU" w:eastAsia="en-US"/>
        </w:rPr>
        <w:t/>
      </w:r>
      <w:r>
        <w:rPr>
          <w:rFonts w:hint="default"/>
          <w:highlight w:val="none"/>
          <w:lang w:eastAsia="en-US"/>
        </w:rPr>
        <w:t xml:space="preserve"/>
      </w:r>
      <w:r>
        <w:rPr>
          <w:rFonts w:hint="default"/>
          <w:highlight w:val="none"/>
          <w:lang w:val="ru-RU" w:eastAsia="en-US"/>
        </w:rPr>
        <w:t/>
      </w:r>
      <w:r>
        <w:rPr>
          <w:rFonts w:hint="default"/>
          <w:highlight w:val="none"/>
          <w:lang w:eastAsia="en-US"/>
        </w:rPr>
        <w:t/>
      </w:r>
    </w:p>
    <w:p>
      <w:r>
        <w:t>2.10. Выплата аванса не предусмотрена.</w:t>
      </w:r>
    </w:p>
    <w:p w14:paraId="45AF2D85">
      <w:pPr>
        <w:pStyle w:val="31"/>
        <w:shd w:val="clear"/>
        <w:rPr>
          <w:highlight w:val="none"/>
        </w:rPr>
      </w:pPr>
      <w:r>
        <w:rPr>
          <w:highlight w:val="none"/>
        </w:rPr>
        <w:t>Сроки и порядок предоставления Лицензии</w:t>
      </w:r>
    </w:p>
    <w:p>
      <w:r>
        <w:t>3.1. Лицензия предоставляется Лицензиаром в сроки, указанные в приложении 2 к Договору.</w:t>
      </w:r>
    </w:p>
    <w:p>
      <w:r>
        <w:t>3.2. Место (места) оказания услуг указано (указаны) в приложении 2 к Договору.</w:t>
      </w:r>
    </w:p>
    <w:p>
      <w:r>
        <w:t>3.3. Лицензиар оказывает услуги в порядке согласно приложению 2 к Договору и в соответствии с иными условиями, предусмотренными Договором. </w:t>
      </w:r>
    </w:p>
    <w:p>
      <w:r>
        <w:t>3.4. В день предоставления Лицензии Лицензиар направляет Лизензиату документы, указанные в приложении 3 к Договору (при наличии таких документов), а также иные данные и (или) документацию согласно подпункту 5.4.2 пункта 5.4 Договора. </w:t>
      </w:r>
    </w:p>
    <w:p>
      <w:r>
        <w:t>3.5. Датой предоставления Лицензии является дата, указанная в подписанном Лизензиатом документе о приемке (раздел «Порядок и сроки осуществления приемки и оформления результатов» приложения 2 к Договору). В случае, если предоставление права использования Объекта по Договору подлежит государственной регистрации, датой предоставления Лицензии является дата такой государственной регистрации. </w:t>
      </w:r>
    </w:p>
    <w:p>
      <w:r>
        <w:t>3.6. Лизензиат не обязан представлять Лицензиару отчеты об использовании Объекта.</w:t>
      </w:r>
    </w:p>
    <w:p w14:paraId="75629862">
      <w:pPr>
        <w:pStyle w:val="31"/>
        <w:shd w:val="clear"/>
        <w:rPr>
          <w:highlight w:val="none"/>
        </w:rPr>
      </w:pPr>
      <w:r>
        <w:rPr>
          <w:highlight w:val="none"/>
        </w:rPr>
        <w:t xml:space="preserve">Порядок и сроки осуществления приемки оказанных услуг </w:t>
      </w:r>
      <w:r>
        <w:rPr>
          <w:highlight w:val="none"/>
        </w:rPr>
        <w:br w:type="textWrapping"/>
      </w:r>
      <w:r>
        <w:rPr>
          <w:highlight w:val="none"/>
        </w:rPr>
        <w:t>и оформления ее результатов</w:t>
      </w:r>
    </w:p>
    <w:p>
      <w:r>
        <w:t>4.1. Лицензиар направляет Лизензиату документы, перечень, порядок и сроки направления которых указаны в приложении 3 к Договору.</w:t>
      </w:r>
    </w:p>
    <w:p>
      <w:r>
        <w:t>4.2. Лизензиат осуществляет приемку результатов исполнения Договора (если Договором предусмотрены этапы, его отдельных этапов) после получения от Лицензиара документов, указанных в приложении 3 к Договору. Порядок и сроки осуществления приемки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Договору.</w:t>
      </w:r>
    </w:p>
    <w:p>
      <w:r>
        <w:t>4.3. Для приемки предоставленных Лицензиаром результатов исполнения Договора (если Договором предусмотрены этапы, его отдельных этапов) Лизензиат проводит экспертизу результатов исполнения Договора (если Договором предусмотрены этапы, его отдельных этапов). </w:t>
      </w:r>
    </w:p>
    <w:p>
      <w:r>
        <w:t>Экспертиза результатов исполнения Договора (если Договором предусмотрены этапы, его отдельных этапов) проводится на предмет их соответствия условиям Договора. </w:t>
      </w:r>
    </w:p>
    <w:p>
      <w:r>
        <w:t>Порядок и сроки проведения экспертизы установлены разделом «Порядок и сроки проведения экспертизы» приложения 3 к Договору.</w:t>
      </w:r>
    </w:p>
    <w:p>
      <w:r>
        <w:t>4.4. Приемка результатов исполнения Договора (если Договором предусмотрены этапы, его отдельных этапов) осуществляется Лизензиатом в порядке и сроки, установленные разделом «Порядок и сроки осуществления приемки и оформления результатов» приложения 2 к Договору, и оформляется документом о приемке, либо в те же сроки Лизензиат направляет Лицензиару письменный мотивированный отказ от подписания документа о приемке, содержащий перечень выявленных недостатков (далее – мотивированный отказ). </w:t>
      </w:r>
    </w:p>
    <w:p>
      <w:r>
        <w:t>Лизензиат отказывает в приемке результатов исполнения Договора (если Договором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Лицензиаром.</w:t>
      </w:r>
    </w:p>
    <w:p>
      <w:r>
        <w:t>4.5. В случае получения мотивированного отказа Лицензиар обязан устранить выявленные недостатки за свой счет и направить Лизензиату документы, указанные в  приложении 3 к Договору.</w:t>
      </w:r>
    </w:p>
    <w:p>
      <w:r>
        <w:t>Со дня получения от Лицензиара документов, указанных в приложении 3 к Договору, Лизензиат действует в порядке, установленном настоящим разделом Договора, при этом срок исполнения обязательств Лизензиата, установленный настоящим разделом Договора, исчисляется со дня получения таких документов. </w:t>
      </w:r>
    </w:p>
    <w:p>
      <w:r>
        <w:t>4.6. В случае, если выявленные недостатки, указанные в мотивированном отказе, не устранены Лицензиаром Лизензиат вправе принять решение об одностороннем отказе от исполнения Договора в соответствии с условиями Договора.</w:t>
      </w:r>
    </w:p>
    <w:p w14:paraId="334EB859">
      <w:pPr>
        <w:pStyle w:val="31"/>
        <w:shd w:val="clear"/>
        <w:rPr>
          <w:highlight w:val="none"/>
        </w:rPr>
      </w:pPr>
      <w:r>
        <w:rPr>
          <w:highlight w:val="none"/>
        </w:rPr>
        <w:t>Права и обязанности Сторон</w:t>
      </w:r>
    </w:p>
    <w:p w14:paraId="45409780">
      <w:pPr>
        <w:pStyle w:val="32"/>
        <w:shd w:val="clear"/>
        <w:rPr>
          <w:szCs w:val="24"/>
          <w:highlight w:val="none"/>
          <w:lang w:eastAsia="en-US"/>
        </w:rPr>
      </w:pPr>
      <w:r>
        <w:rPr>
          <w:highlight w:val="none"/>
          <w:lang w:eastAsia="en-US"/>
        </w:rPr>
        <w:t xml:space="preserve">Лизензиат</w:t>
      </w:r>
      <w:r>
        <w:rPr>
          <w:szCs w:val="24"/>
          <w:highlight w:val="none"/>
          <w:lang w:eastAsia="en-US"/>
        </w:rPr>
        <w:t xml:space="preserve"> вправе:</w:t>
      </w:r>
    </w:p>
    <w:p>
      <w:r>
        <w:t>5.1.1. Требовать от Лицензиара надлежащего исполнения обязательств в соответствии с условиями Договора, а также требовать своевременного устранения выявленных недостатков.</w:t>
      </w:r>
    </w:p>
    <w:p>
      <w:r>
        <w:t>5.1.2. Требовать от Лицензиара представления надлежащим образом оформленных документов, подтверждающих исполнение обязательств в соответствии с условиями Договора.</w:t>
      </w:r>
    </w:p>
    <w:p>
      <w:r>
        <w:t>5.1.3. Запрашивать у Лицензиара информацию об исполнении им обязательств по Договору, в том числе о сложностях, возникающих при исполнении Договора.</w:t>
      </w:r>
    </w:p>
    <w:p>
      <w:r>
        <w:t>5.1.4. При расторжении Договора в одностороннем порядке по вине Лицензиара потребовать от Лицензиара возмещения документально подтвержденного реального ущерба, причиненного Лизензиату.</w:t>
      </w:r>
    </w:p>
    <w:p>
      <w:r>
        <w:t>5.1.5. Требовать возмещения убытков, причиненных в связи с неисполнением и (или) нарушением установленных сроков исполнения Лицензиаром обязательств, предусмотренных Договором.</w:t>
      </w:r>
    </w:p>
    <w:p>
      <w:r>
        <w:t>5.1.6. Если иное не предусмотрено Договором, предоставлять право использования Объекта конечному пользователю в пределах тех прав и тех способов использования, которые предусмотрены Договором.</w:t>
      </w:r>
    </w:p>
    <w:p>
      <w:r>
        <w:t>5.1.7. Если иное не предусмотрено Договором, осуществлять действия, необходимые для функционирования Объекта (в том числе в ходе использования в соответствии с его назначением), включая запись и хранение в памяти электронных вычислительных машин, внесение в Объект изменений исключительно в целях их функционирования на технических средствах пользователя, исправление явных ошибок.</w:t>
      </w:r>
    </w:p>
    <w:p w14:paraId="20804C4E">
      <w:pPr>
        <w:pStyle w:val="32"/>
        <w:shd w:val="clear"/>
        <w:rPr>
          <w:highlight w:val="none"/>
          <w:lang w:eastAsia="en-US"/>
        </w:rPr>
      </w:pPr>
      <w:bookmarkStart w:id="0" w:name="_Ref47600460"/>
      <w:r>
        <w:rPr>
          <w:szCs w:val="24"/>
          <w:highlight w:val="none"/>
          <w:lang w:eastAsia="en-US"/>
        </w:rPr>
        <w:t xml:space="preserve">Лизензиат</w:t>
      </w:r>
      <w:r>
        <w:rPr>
          <w:highlight w:val="none"/>
          <w:lang w:eastAsia="en-US"/>
        </w:rPr>
        <w:t xml:space="preserve"> обязан:</w:t>
      </w:r>
      <w:bookmarkEnd w:id="0"/>
    </w:p>
    <w:p>
      <w:r>
        <w:t>5.2.1. Обеспечить приемку результатов исполнения Договора в соответствии с условиями Договора. </w:t>
      </w:r>
    </w:p>
    <w:p>
      <w:r>
        <w:t>5.2.2. Производить оплату оказанных услуг в порядке и сроки, установленные Договором. </w:t>
      </w:r>
    </w:p>
    <w:p>
      <w:r>
        <w:t>5.2.3. Использовать Объект в пределах тех прав и теми способами, которые предусмотрены Договором. </w:t>
      </w:r>
    </w:p>
    <w:p>
      <w:r>
        <w:t>5.2.4. Сообщать в письменной форме Лицензиару о недостатках, обнаруженных в ходе исполнения Лицензиаром своих обязательств по Договору, в течение 5 (пяти) рабочих дней со дня обнаружения таких недостатков. </w:t>
      </w:r>
    </w:p>
    <w:p>
      <w:r>
        <w:t>5.2.5. Представлять Лицензиару информацию об изменении реквизитов Лизензиата,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 </w:t>
      </w:r>
    </w:p>
    <w:p>
      <w:r>
        <w:t>5.2.6. В течение 5 (пяти) рабочих дней со дня получения от Лицензиара информации об изменении реквизитов Лицензиара,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 </w:t>
      </w:r>
    </w:p>
    <w:p>
      <w:r>
        <w:t>5.2.7. Представлять Лицензиару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r>
        <w:t>5.2.8. Передавать данные, в соответствующих случаях необходимые для доступа к Объекту, третьим лицам только при наличии письменного согласия Лицензиара.</w:t>
      </w:r>
    </w:p>
    <w:p>
      <w:r>
        <w:t>5.2.9. Выполнить обязательства в соответствии с разделом «Иные обязательства» приложения 2 к Договору (при наличии таких обязательств).</w:t>
      </w:r>
    </w:p>
    <w:p>
      <w:r>
        <w:t>5.2.10. Исполнять иные обязанности в соответствии с законодательством Российской Федерации и Договором.</w:t>
      </w:r>
    </w:p>
    <w:p w14:paraId="5D468C54">
      <w:pPr>
        <w:pStyle w:val="32"/>
        <w:shd w:val="clear"/>
        <w:rPr>
          <w:highlight w:val="none"/>
          <w:lang w:val="en-US" w:eastAsia="en-US"/>
        </w:rPr>
      </w:pPr>
      <w:r>
        <w:rPr>
          <w:highlight w:val="none"/>
          <w:lang w:val="en-US"/>
        </w:rPr>
        <w:t xml:space="preserve">Лицензиар</w:t>
      </w:r>
      <w:r>
        <w:rPr>
          <w:highlight w:val="none"/>
          <w:lang w:val="en-AU"/>
        </w:rPr>
        <w:t/>
      </w:r>
      <w:r>
        <w:rPr>
          <w:highlight w:val="none"/>
          <w:lang w:val="en-US"/>
        </w:rPr>
        <w:t/>
      </w:r>
      <w:r>
        <w:rPr>
          <w:highlight w:val="none"/>
          <w:lang w:val="en-AU"/>
        </w:rPr>
        <w:t/>
      </w:r>
      <w:r>
        <w:rPr>
          <w:highlight w:val="none"/>
          <w:lang w:val="en-US"/>
        </w:rPr>
        <w:t/>
      </w:r>
      <w:r>
        <w:rPr>
          <w:highlight w:val="none"/>
          <w:lang w:val="en-AU"/>
        </w:rPr>
        <w:t/>
      </w:r>
      <w:r>
        <w:rPr>
          <w:highlight w:val="none"/>
          <w:lang w:val="en-US"/>
        </w:rPr>
        <w:t xml:space="preserve"/>
      </w:r>
      <w:r>
        <w:rPr>
          <w:highlight w:val="none"/>
          <w:lang w:val="en-US" w:eastAsia="en-US"/>
        </w:rPr>
        <w:t xml:space="preserve"> </w:t>
      </w:r>
      <w:r>
        <w:rPr>
          <w:highlight w:val="none"/>
          <w:lang w:eastAsia="en-US"/>
        </w:rPr>
        <w:t>вправе:</w:t>
      </w:r>
    </w:p>
    <w:p w14:paraId="7682636E">
      <w:pPr>
        <w:pStyle w:val="34"/>
        <w:shd w:val="clear"/>
        <w:rPr>
          <w:highlight w:val="none"/>
        </w:rPr>
      </w:pPr>
      <w:r>
        <w:rPr>
          <w:highlight w:val="none"/>
        </w:rPr>
        <w:t xml:space="preserve">Требовать возмещения убытков, причиненных в связи с неисполнением и (или) нарушением установленных сроков исполнения Лизензиатом обязательств, предусмотренных Договором.</w:t>
      </w:r>
    </w:p>
    <w:p w14:paraId="032D68E7">
      <w:pPr>
        <w:pStyle w:val="34"/>
        <w:shd w:val="clear"/>
        <w:rPr>
          <w:highlight w:val="none"/>
        </w:rPr>
      </w:pPr>
      <w:r>
        <w:rPr>
          <w:highlight w:val="none"/>
        </w:rPr>
        <w:t xml:space="preserve">Требовать от Лизензиата надлежащего исполнения обязательств в соответствии с Договором.</w:t>
      </w:r>
    </w:p>
    <w:p w14:paraId="1D370F93">
      <w:pPr>
        <w:pStyle w:val="34"/>
        <w:shd w:val="clear"/>
        <w:rPr>
          <w:highlight w:val="none"/>
        </w:rPr>
      </w:pPr>
      <w:r>
        <w:rPr>
          <w:highlight w:val="none"/>
        </w:rPr>
        <w:t xml:space="preserve">Запрашивать у Лизензиата разъяснения и уточнения относительно исполнения обязательств в рамках Договора.</w:t>
      </w:r>
    </w:p>
    <w:p w14:paraId="69FCDA83">
      <w:pPr>
        <w:pStyle w:val="34"/>
        <w:shd w:val="clear"/>
        <w:rPr>
          <w:highlight w:val="none"/>
        </w:rPr>
      </w:pPr>
      <w:r>
        <w:rPr>
          <w:highlight w:val="none"/>
        </w:rPr>
        <w:t xml:space="preserve">Осуществлять иные права, предусмотренные законодательством Российской Федерации и Договором.</w:t>
      </w:r>
    </w:p>
    <w:p w14:paraId="706CEC84">
      <w:pPr>
        <w:pStyle w:val="34"/>
        <w:numPr>
          <w:ilvl w:val="0"/>
          <w:numId w:val="0"/>
        </w:numPr>
        <w:shd w:val="clear"/>
        <w:ind w:firstLine="709"/>
        <w:rPr>
          <w:highlight w:val="none"/>
        </w:rPr>
      </w:pPr>
      <w:r>
        <w:rPr>
          <w:rFonts w:hint="default"/>
          <w:highlight w:val="none"/>
        </w:rPr>
        <w:t xml:space="preserve"/>
      </w:r>
    </w:p>
    <w:p w14:paraId="656AF1A9">
      <w:pPr>
        <w:pStyle w:val="32"/>
        <w:shd w:val="clear"/>
        <w:rPr>
          <w:highlight w:val="none"/>
          <w:lang w:val="en-US" w:eastAsia="en-US"/>
        </w:rPr>
      </w:pPr>
      <w:bookmarkStart w:id="1" w:name="_Ref41491508"/>
      <w:r>
        <w:rPr>
          <w:highlight w:val="none"/>
          <w:lang w:val="en-US"/>
        </w:rPr>
        <w:t xml:space="preserve">Лицензиар</w:t>
      </w:r>
      <w:r>
        <w:rPr>
          <w:highlight w:val="none"/>
          <w:lang w:val="en-AU"/>
        </w:rPr>
        <w:t/>
      </w:r>
      <w:r>
        <w:rPr>
          <w:highlight w:val="none"/>
          <w:lang w:val="en-US"/>
        </w:rPr>
        <w:t/>
      </w:r>
      <w:r>
        <w:rPr>
          <w:highlight w:val="none"/>
          <w:lang w:val="en-AU"/>
        </w:rPr>
        <w:t/>
      </w:r>
      <w:r>
        <w:rPr>
          <w:highlight w:val="none"/>
          <w:lang w:val="en-US"/>
        </w:rPr>
        <w:t/>
      </w:r>
      <w:r>
        <w:rPr>
          <w:highlight w:val="none"/>
          <w:lang w:val="en-AU"/>
        </w:rPr>
        <w:t/>
      </w:r>
      <w:r>
        <w:rPr>
          <w:highlight w:val="none"/>
          <w:lang w:val="en-US"/>
        </w:rPr>
        <w:t xml:space="preserve"/>
      </w:r>
      <w:r>
        <w:rPr>
          <w:highlight w:val="none"/>
          <w:lang w:val="en-US" w:eastAsia="en-US"/>
        </w:rPr>
        <w:t xml:space="preserve"> </w:t>
      </w:r>
      <w:r>
        <w:rPr>
          <w:highlight w:val="none"/>
          <w:lang w:eastAsia="en-US"/>
        </w:rPr>
        <w:t>обязан</w:t>
      </w:r>
      <w:r>
        <w:rPr>
          <w:highlight w:val="none"/>
          <w:lang w:val="en-US" w:eastAsia="en-US"/>
        </w:rPr>
        <w:t>:</w:t>
      </w:r>
      <w:bookmarkEnd w:id="1"/>
    </w:p>
    <w:p>
      <w:r>
        <w:t>5.4.1. В установленные Договором сроки предоставить Лизензиату Лицензию, соответствующую Техническому заданию и иным условиям Договора, а также выполнить иные обязательства, предусмотренные Договором, в полном объеме, надлежащего качества в соответствии с условиями Договора.</w:t>
      </w:r>
    </w:p>
    <w:p>
      <w:r>
        <w:t>5.4.2. Совместно с Лицензией предоставить все данные и (или) документацию (технологическая, проектная, эксплуатационная, программная и иная документация, сертификаты, электронные ключи, ключи активации, логины, пароли для входя в аккаунты, личные кабинеты и прочие документы и средства подтверждения, установленные правообладателем Объекта), относящиеся к использованию Объекта и (или) необходимые для получения доступа к Объекту.</w:t>
      </w:r>
    </w:p>
    <w:p>
      <w:r>
        <w:t>5.4.3. Обеспечить Лизензиату ежедневный и круглосуточный доступ к Объекту в течение срока действия Лицензии, за исключением времени профилактических работ.</w:t>
      </w:r>
    </w:p>
    <w:p>
      <w:r>
        <w:t>5.4.4. В течение срока действия Договора воздерживаться от каких-либо действий, способных затруднить использование Лизензиатом Объекта в установленных Договором пределах.</w:t>
      </w:r>
    </w:p>
    <w:p>
      <w:r>
        <w:t>5.4.5. Своевременно направлять Лизензиату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5.4.6. Предоставлять в течение 2 (двух) рабочих дней со дня получения соответствующего запроса от Лизензиата достоверную информацию о ходе исполнения своих обязательств по Договору, в том числе о сложностях, возникающих при исполнении Договора.</w:t>
      </w:r>
    </w:p>
    <w:p>
      <w:r>
        <w:t>5.4.7. Представлять Лизензиату информацию об изменении реквизитов Лицензиара,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5.4.8. В течение 5 (пяти) рабочих дней со дня получения от Лизензиата информации об изменении реквизитов Лизензиата,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5.4.9. Обеспечить соответствие исполненных обязательств, предусмотренных Договором,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 (при наличии таких требований).</w:t>
      </w:r>
    </w:p>
    <w:p>
      <w:r>
        <w:t>5.4.10. Устранять недостатки, выявленные в ходе оказания услуг, приемки результатов исполнения Договора (если Договором предусмотрены этапы, его отдельных этапов) и в течение гарантийного срока (если требования к гарантийному сроку установлены Лизензиатом), за свой счет.</w:t>
      </w:r>
    </w:p>
    <w:p>
      <w:r>
        <w:t>5.4.11. Выполнить обязательства в соответствии с разделом «Иные обязательства» приложения 2 к Договору (при наличии таких обязательств).</w:t>
      </w:r>
    </w:p>
    <w:p>
      <w:r>
        <w:t>5.4.12. Исполнять иные обязанности в соответствии с законодательством Российской Федерации и настоящим Договором.</w:t>
      </w:r>
    </w:p>
    <w:p w14:paraId="29FB53A3">
      <w:pPr>
        <w:pStyle w:val="31"/>
        <w:shd w:val="clear"/>
        <w:rPr>
          <w:highlight w:val="none"/>
        </w:rPr>
      </w:pPr>
      <w:r>
        <w:rPr>
          <w:highlight w:val="none"/>
        </w:rPr>
        <w:t>Гарантии</w:t>
      </w:r>
    </w:p>
    <w:p>
      <w:r>
        <w:t>6.1.Лицензиар гарантирует, что на момент заключения Договора:</w:t>
      </w:r>
    </w:p>
    <w:p>
      <w:r>
        <w:t>он обладает на законных основаниях правами на предоставление прав использования Объекта в необходимом объеме;</w:t>
      </w:r>
    </w:p>
    <w:p>
      <w:r>
        <w:t/>
      </w:r>
    </w:p>
    <w:p>
      <w:r>
        <w:t>предоставляемые права использования Объекта не являются предметом залога, ареста или иного обременения, а также не нарушают исключительные права третьих лиц;</w:t>
      </w:r>
    </w:p>
    <w:p>
      <w:r>
        <w:t>предоставляемые права использования Объекта не оспорены в суде или иным законным способом.</w:t>
      </w:r>
    </w:p>
    <w:p>
      <w:r>
        <w:t>6.2. Лицензиар гарантирует качество и безопасность исполненных обязательств, предусмотренных Договором, в соответствии с действующим законодательством Российской Федерации, а также соответствие Лицензии требованиям Договора.</w:t>
      </w:r>
    </w:p>
    <w:p w14:paraId="72C5733E">
      <w:pPr>
        <w:pStyle w:val="31"/>
        <w:shd w:val="clear"/>
        <w:rPr>
          <w:highlight w:val="none"/>
        </w:rPr>
      </w:pPr>
      <w:r>
        <w:rPr>
          <w:highlight w:val="none"/>
        </w:rPr>
        <w:t>Ответственность Сторон</w:t>
      </w:r>
    </w:p>
    <w:p>
      <w:r>
        <w:t>7.1. 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14:paraId="59E8C866">
      <w:pPr>
        <w:shd w:val="clear"/>
        <w:rPr>
          <w:highlight w:val="none"/>
        </w:rPr>
      </w:pPr>
    </w:p>
    <w:p w14:paraId="688990EF">
      <w:pPr>
        <w:shd w:val="clear"/>
        <w:rPr>
          <w:highlight w:val="none"/>
        </w:rPr>
      </w:pPr>
      <w:r>
        <w:rPr>
          <w:highlight w:val="none"/>
        </w:rPr>
        <w:t xml:space="preserve"/>
      </w:r>
    </w:p>
    <w:p w14:paraId="052AB3B7">
      <w:pPr>
        <w:shd w:val="clear"/>
        <w:rPr>
          <w:highlight w:val="none"/>
        </w:rPr>
      </w:pPr>
      <w:r>
        <w:rPr>
          <w:highlight w:val="none"/>
        </w:rPr>
        <w:t xml:space="preserve"/>
      </w:r>
    </w:p>
    <w:p w14:paraId="760DB8D2">
      <w:pPr>
        <w:shd w:val="clear"/>
        <w:rPr>
          <w:highlight w:val="none"/>
        </w:rPr>
      </w:pPr>
      <w:r>
        <w:rPr>
          <w:szCs w:val="26"/>
          <w:highlight w:val="none"/>
        </w:rPr>
        <w:t xml:space="preserve"/>
      </w:r>
    </w:p>
    <w:p w14:paraId="03EC4B09">
      <w:pPr>
        <w:pStyle w:val="31"/>
        <w:shd w:val="clear"/>
        <w:rPr>
          <w:highlight w:val="none"/>
        </w:rPr>
      </w:pPr>
      <w:r>
        <w:rPr>
          <w:highlight w:val="none"/>
        </w:rPr>
        <w:t xml:space="preserve">Порядок расторжения Договора</w:t>
      </w:r>
    </w:p>
    <w:p>
      <w:r>
        <w:t>8.1.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
        <w:t>8.2. Лизензиат и Лицензиар вправе принять решение об одностороннем отказе от исполнения Договора по основаниям, предусмотренным Гражданским кодексом для одностороннего отказа от исполнения отдельных видов обязательств.</w:t>
      </w:r>
    </w:p>
    <w:p>
      <w:r>
        <w:t>8.3. При расторжении Договора в одностороннем порядке по вине Лицензиара Лизензиат вправе потребовать от Лицензиара возмещения причиненных убытков.</w:t>
      </w:r>
    </w:p>
    <w:p>
      <w:r>
        <w:t>8.4. 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не предусмотрен в уведомлении либо не определен самим Договором, соглашением Сторон.</w:t>
      </w:r>
    </w:p>
    <w:p>
      <w:r>
        <w:t>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 </w:t>
      </w:r>
    </w:p>
    <w:p>
      <w:r>
        <w:t>8.5. Расторжение Договора по соглашению Сторон производится путем подписания соответствующего соглашения о расторжении. </w:t>
      </w:r>
    </w:p>
    <w:p>
      <w:r>
        <w:t>Стороны производят сверку расчетов, которой подтверждается стоимость принятых Лизензиатом услуг, а также размер суммы, перечисленной Лизензиатом Лицензиару в качестве арендной платы.</w:t>
      </w:r>
    </w:p>
    <w:p>
      <w:r>
        <w:t>Сторона, которой направлено предложение о расторжении Договора по соглашению Сторон, должна дать письменный ответ по существу в срок не позднее 5 (пяти) рабочих дней с даты его получения.</w:t>
      </w:r>
    </w:p>
    <w:p>
      <w:r>
        <w:t>Лицензиар обязан возвратить Лизензиату на счет, реквизиты которого указаны в Договоре, выплаченный в соответствии с Договором аванс в размере за вычетом учтенного в стоимости оказанных услуг аванса в течение 5 (пяти) календарных дней с даты расторжения настоящего Договора (если Договором предусмотрена выплата аванса).</w:t>
      </w:r>
    </w:p>
    <w:p w14:paraId="3C24ACA7">
      <w:pPr>
        <w:pStyle w:val="31"/>
        <w:shd w:val="clear"/>
        <w:rPr>
          <w:highlight w:val="none"/>
        </w:rPr>
      </w:pPr>
      <w:r>
        <w:rPr>
          <w:highlight w:val="none"/>
        </w:rPr>
        <w:t xml:space="preserve">Обеспечение исполнения Договора</w:t>
      </w:r>
    </w:p>
    <w:p>
      <w:r>
        <w:t>9.1. Требования к обеспечению исполнению Договора не установлены на основании № 223-ФЗ.</w:t>
      </w:r>
    </w:p>
    <w:bookmarkEnd w:id="2"/>
    <w:p w14:paraId="38AA1A02">
      <w:pPr>
        <w:pStyle w:val="31"/>
        <w:shd w:val="clear"/>
        <w:rPr>
          <w:highlight w:val="none"/>
        </w:rPr>
      </w:pPr>
      <w:r>
        <w:rPr>
          <w:highlight w:val="none"/>
        </w:rPr>
        <w:t>Обеспечение гарантийных обязательств</w:t>
      </w:r>
    </w:p>
    <w:p>
      <w:r>
        <w:t>10.1. Требования к обеспечению исполнению Договора не установлены.</w:t>
      </w:r>
    </w:p>
    <w:bookmarkEnd w:id="3"/>
    <w:bookmarkEnd w:id="4"/>
    <w:p w14:paraId="2ACD0694">
      <w:pPr>
        <w:pStyle w:val="31"/>
        <w:shd w:val="clear"/>
        <w:rPr>
          <w:highlight w:val="none"/>
        </w:rPr>
      </w:pPr>
      <w:r>
        <w:rPr>
          <w:highlight w:val="none"/>
        </w:rPr>
        <w:t>Обстоятельства непреодолимой силы</w:t>
      </w:r>
    </w:p>
    <w:p w14:paraId="18EE13E9">
      <w:pPr>
        <w:pStyle w:val="32"/>
        <w:shd w:val="clear"/>
        <w:rPr>
          <w:highlight w:val="none"/>
          <w:lang w:eastAsia="en-US"/>
        </w:rPr>
      </w:pPr>
      <w:r>
        <w:rPr>
          <w:highlight w:val="none"/>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pPr>
        <w:pStyle w:val="32"/>
        <w:shd w:val="clear"/>
        <w:rPr>
          <w:highlight w:val="none"/>
          <w:lang w:eastAsia="en-US"/>
        </w:rPr>
      </w:pPr>
      <w:r>
        <w:rPr>
          <w:highlight w:val="none"/>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pPr>
        <w:pStyle w:val="31"/>
        <w:shd w:val="clear"/>
        <w:rPr>
          <w:highlight w:val="none"/>
        </w:rPr>
      </w:pPr>
      <w:r>
        <w:rPr>
          <w:highlight w:val="none"/>
        </w:rPr>
        <w:t>Порядок урегулирования споров</w:t>
      </w:r>
    </w:p>
    <w:p>
      <w:r>
        <w:t>12.1.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Договора.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Стороны вправе заключить соглашение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 (процедуре медиации)».</w:t>
      </w:r>
    </w:p>
    <w:p>
      <w:r>
        <w:t>12.4.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 &lt;1&gt;.</w:t>
      </w:r>
    </w:p>
    <w:p>
      <w:r>
        <w:t/>
      </w:r>
    </w:p>
    <w:p>
      <w:r>
        <w:t>&lt;1&gt; В случае, если Лицензиаром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Лизензиата.</w:t>
      </w:r>
    </w:p>
    <w:p w14:paraId="43CFA01F">
      <w:pPr>
        <w:pStyle w:val="31"/>
        <w:shd w:val="clear"/>
        <w:rPr>
          <w:highlight w:val="none"/>
        </w:rPr>
      </w:pPr>
      <w:r>
        <w:rPr>
          <w:highlight w:val="none"/>
        </w:rPr>
        <w:t xml:space="preserve">Срок действия, порядок изменения Договора</w:t>
      </w:r>
    </w:p>
    <w:p w14:paraId="38B57689">
      <w:pPr>
        <w:shd w:val="clear"/>
        <w:rPr>
          <w:rFonts w:hint="default"/>
          <w:highlight w:val="none"/>
        </w:rPr>
      </w:pPr>
      <w:r>
        <w:rPr>
          <w:rFonts w:hint="default"/>
          <w:highlight w:val="none"/>
        </w:rPr>
        <w:t xml:space="preserve">13.1. Договор вступает в силу с момента его заключения и действует до полного исполнения Сторонами своих обязательств по Договору. Окончание срока действия настоящего Договора не влечет прекращение неисполненных обязательств Сторон.</w:t>
      </w:r>
    </w:p>
    <w:p>
      <w:r>
        <w:t>13.2. Любые изменения и дополнения к Договору, не противоречащие законодательству Российской Федерации, оформляются дополнительным соглашением Сторон.</w:t>
      </w:r>
    </w:p>
    <w:p>
      <w:r>
        <w:t>13.3. Изменение условий Договора в ходе его исполнения допускается по соглашению Сторон в следующих случаях: </w:t>
      </w:r>
    </w:p>
    <w:p>
      <w:r>
        <w:t>при снижении Цены Договора без изменения предусмотренных Договором объема услуги, качества оказываемой услуги и иных условий Договора;</w:t>
      </w:r>
    </w:p>
    <w:p>
      <w:r>
        <w:t>если по предложению Лизензиата увеличиваются (уменьшаются) объем услуги не более чем на 30 (тридцать)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(тридцать)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такой(го) услуги;</w:t>
      </w:r>
    </w:p>
    <w:p>
      <w:r>
        <w:t>при осуществлении закупки, в которой определено максимальное значение цены Договора, допускается однократное увеличение по инициативе Лизензиата максимального значения цены Договора не более чем на 30 (тридцать) процентов от установленной при заключении Договора, при этом цена единицы услуги и сроки исполнения Договора (исполнения обязательств) изменению не подлежат;</w:t>
      </w:r>
    </w:p>
    <w:p>
      <w:r>
        <w:t>при условии, что такие изменения не повлекут изменения существенных условий Договора;</w:t>
      </w:r>
    </w:p>
    <w:p>
      <w:r>
        <w:t>изменение в соответствии с законодательством Российской Федерации регулируемых цен (тарифов) на услуги.</w:t>
      </w:r>
    </w:p>
    <w:p>
      <w:r>
        <w:t>13.4. При заключении дополнительного соглашения Лизензиат должен соблюдать следующие принципы: </w:t>
      </w:r>
    </w:p>
    <w:p>
      <w:r>
        <w:t>изменение предмета Договора не допускается; </w:t>
      </w:r>
    </w:p>
    <w:p>
      <w:r>
        <w:t>изменения ведут к обоснованному улучшению условий Договора для Лизензиата по сравнению с текущими условиями Договора и не ухудшают экономическую эффективность закупки.</w:t>
      </w:r>
    </w:p>
    <w:p w14:paraId="318B3953">
      <w:pPr>
        <w:pStyle w:val="31"/>
        <w:shd w:val="clear"/>
        <w:rPr>
          <w:highlight w:val="none"/>
        </w:rPr>
      </w:pPr>
      <w:r>
        <w:rPr>
          <w:highlight w:val="none"/>
        </w:rPr>
        <w:t>Особые условия</w:t>
      </w:r>
    </w:p>
    <w:p>
      <w:r>
        <w:t>14.1. Стороны при исполнении Договора: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Лицензиаром (если Договором предусмотрена обязанность Лицензиара оказать услуги по заявке Лизензиата);</w:t>
      </w:r>
    </w:p>
    <w:p>
      <w:r>
        <w:t>оказание услуги, а также отдельные этапы исполнения Договора, включая документы, предоставление которых предусмотрено в целях осуществления приемки оказанных услуг, а также отдельных этапов исполнения Договора;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 а также направление решения об одностороннем отказе от исполнения Договора;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если условиями Договора не предусмотрено иное.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6CB3E824">
      <w:pPr>
        <w:pStyle w:val="31"/>
        <w:shd w:val="clear"/>
        <w:rPr>
          <w:highlight w:val="none"/>
        </w:rPr>
      </w:pPr>
      <w:r>
        <w:rPr>
          <w:highlight w:val="none"/>
        </w:rPr>
        <w:t>Прочие условия</w:t>
      </w:r>
    </w:p>
    <w:p>
      <w:r>
        <w:t>15.1. 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Договор составлен в форме электронного документа, подписанного усиленными электронными подписями Сторон.</w:t>
      </w:r>
    </w:p>
    <w:p>
      <w:r>
        <w:t>15.3. Во всем, что не предусмотрено Договором,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Договора,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r>
        <w:t>15.6. Неотъемлемыми частями Договора являются следующие приложения (прилагаются отдельными файлами):</w:t>
      </w:r>
    </w:p>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Договора»;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предмета закупки (Техническое задание)».</w:t>
      </w:r>
    </w:p>
    <w:p w14:paraId="2DEDE853">
      <w:pPr>
        <w:pStyle w:val="31"/>
        <w:shd w:val="clear"/>
        <w:rPr>
          <w:highlight w:val="none"/>
        </w:rPr>
      </w:pPr>
      <w:r>
        <w:rPr>
          <w:highlight w:val="none"/>
        </w:rP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576DBC48">
        <w:tblPrEx>
          <w:tblCellMar>
            <w:top w:w="0" w:type="dxa"/>
            <w:left w:w="108" w:type="dxa"/>
            <w:bottom w:w="0" w:type="dxa"/>
            <w:right w:w="108" w:type="dxa"/>
          </w:tblCellMar>
        </w:tblPrEx>
        <w:trPr>
          <w:trHeight w:val="988" w:hRule="atLeast"/>
        </w:trPr>
        <w:tc>
          <w:tcPr>
            <w:tcW w:w="5075" w:type="dxa"/>
            <w:shd w:val="clear" w:color="auto" w:fill="auto"/>
          </w:tcPr>
          <w:p w14:paraId="5016E7A3">
            <w:pPr>
              <w:pStyle w:val="20"/>
              <w:shd w:val="clear"/>
              <w:rPr>
                <w:highlight w:val="none"/>
              </w:rPr>
            </w:pPr>
            <w:r>
              <w:rPr>
                <w:highlight w:val="none"/>
              </w:rPr>
              <w:t xml:space="preserve">Лизензиат:</w:t>
            </w:r>
          </w:p>
          <w:p w14:paraId="19C13C2C">
            <w:pPr>
              <w:pStyle w:val="20"/>
              <w:shd w:val="clear"/>
              <w:rPr>
                <w:highlight w:val="none"/>
              </w:rPr>
            </w:pPr>
          </w:p>
          <w:p w14:paraId="252E234D">
            <w:pPr>
              <w:pStyle w:val="20"/>
              <w:shd w:val="clear"/>
              <w:rPr>
                <w:highlight w:val="none"/>
              </w:rPr>
            </w:pPr>
            <w:r>
              <w:rPr>
                <w:highlight w:val="none"/>
              </w:rPr>
              <w:t xml:space="preserve">Государственное Автономное Учреждение Культуры Московской Области "Государственный историко-литературный музей-заповедник А.С. Пушкина"</w:t>
            </w:r>
          </w:p>
        </w:tc>
        <w:tc>
          <w:tcPr>
            <w:tcW w:w="5633" w:type="dxa"/>
            <w:shd w:val="clear" w:color="auto" w:fill="auto"/>
          </w:tcPr>
          <w:p w14:paraId="760D071A">
            <w:pPr>
              <w:pStyle w:val="20"/>
              <w:shd w:val="clear"/>
              <w:rPr>
                <w:highlight w:val="none"/>
              </w:rPr>
            </w:pPr>
            <w:r>
              <w:rPr>
                <w:highlight w:val="none"/>
              </w:rPr>
              <w:t xml:space="preserve">Лицензиар:</w:t>
            </w:r>
          </w:p>
          <w:p w14:paraId="6CD6713F">
            <w:pPr>
              <w:pStyle w:val="20"/>
              <w:shd w:val="clear"/>
              <w:rPr>
                <w:highlight w:val="none"/>
              </w:rPr>
            </w:pPr>
          </w:p>
          <w:p w14:paraId="79C36103">
            <w:pPr>
              <w:pStyle w:val="20"/>
              <w:shd w:val="clear"/>
              <w:rPr>
                <w:highlight w:val="none"/>
              </w:rPr>
            </w:pPr>
            <w:r>
              <w:rPr>
                <w:rStyle w:val="11"/>
                <w:color w:val="auto"/>
                <w:highlight w:val="none"/>
                <w:u w:val="none"/>
              </w:rPr>
              <w:t xml:space="preserve">________________</w:t>
            </w:r>
          </w:p>
        </w:tc>
      </w:tr>
      <w:tr w14:paraId="0CD5CF67">
        <w:tblPrEx>
          <w:tblCellMar>
            <w:top w:w="0" w:type="dxa"/>
            <w:left w:w="108" w:type="dxa"/>
            <w:bottom w:w="0" w:type="dxa"/>
            <w:right w:w="108" w:type="dxa"/>
          </w:tblCellMar>
        </w:tblPrEx>
        <w:trPr>
          <w:trHeight w:val="397" w:hRule="atLeast"/>
        </w:trPr>
        <w:tc>
          <w:tcPr>
            <w:tcW w:w="5075" w:type="dxa"/>
            <w:shd w:val="clear" w:color="auto" w:fill="auto"/>
          </w:tcPr>
          <w:p w14:paraId="27DCEA4D">
            <w:pPr>
              <w:pStyle w:val="20"/>
              <w:shd w:val="clear"/>
              <w:rPr>
                <w:highlight w:val="none"/>
              </w:rPr>
            </w:pPr>
            <w:r>
              <w:rPr>
                <w:highlight w:val="none"/>
              </w:rPr>
              <w:t xml:space="preserve">Сокращенное наименование: ГАУК МО «Музей-заповедник А.С. Пушкина»</w:t>
            </w:r>
          </w:p>
        </w:tc>
        <w:tc>
          <w:tcPr>
            <w:tcW w:w="5633" w:type="dxa"/>
            <w:shd w:val="clear" w:color="auto" w:fill="auto"/>
          </w:tcPr>
          <w:p w14:paraId="61156523">
            <w:pPr>
              <w:pStyle w:val="20"/>
              <w:shd w:val="clear"/>
              <w:rPr>
                <w:highlight w:val="none"/>
              </w:rPr>
            </w:pPr>
            <w:r>
              <w:rPr>
                <w:highlight w:val="none"/>
              </w:rPr>
              <w:t>Сокращенное наименование:</w:t>
            </w:r>
            <w:r>
              <w:rPr>
                <w:rStyle w:val="11"/>
                <w:color w:val="auto"/>
                <w:highlight w:val="none"/>
                <w:u w:val="none"/>
              </w:rPr>
              <w:t xml:space="preserve"> ________________</w:t>
            </w:r>
          </w:p>
        </w:tc>
      </w:tr>
      <w:tr w14:paraId="18367198">
        <w:tblPrEx>
          <w:tblCellMar>
            <w:top w:w="0" w:type="dxa"/>
            <w:left w:w="108" w:type="dxa"/>
            <w:bottom w:w="0" w:type="dxa"/>
            <w:right w:w="108" w:type="dxa"/>
          </w:tblCellMar>
        </w:tblPrEx>
        <w:trPr>
          <w:trHeight w:val="1653" w:hRule="atLeast"/>
        </w:trPr>
        <w:tc>
          <w:tcPr>
            <w:tcW w:w="5075" w:type="dxa"/>
            <w:shd w:val="clear" w:color="auto" w:fill="auto"/>
          </w:tcPr>
          <w:p w14:paraId="0182542D">
            <w:pPr>
              <w:pStyle w:val="20"/>
              <w:shd w:val="clear"/>
              <w:rPr>
                <w:highlight w:val="none"/>
              </w:rPr>
            </w:pPr>
            <w:r>
              <w:rPr>
                <w:highlight w:val="none"/>
              </w:rPr>
              <w:t xml:space="preserve">Почтовый адрес: 143050, Московская область, Одинцовский городской округ, р.п. Большие Вязёмы</w:t>
            </w:r>
          </w:p>
          <w:p w14:paraId="7FE3E6D6">
            <w:pPr>
              <w:pStyle w:val="20"/>
              <w:shd w:val="clear"/>
              <w:rPr>
                <w:highlight w:val="none"/>
              </w:rPr>
            </w:pPr>
            <w:r>
              <w:rPr>
                <w:highlight w:val="none"/>
              </w:rPr>
              <w:t xml:space="preserve">Место нахождения, адрес: 143050, Московская область, Одинцовский городской округ, р.п. Большие Вязёмы</w:t>
            </w:r>
          </w:p>
          <w:p w14:paraId="651B8B30">
            <w:pPr>
              <w:pStyle w:val="20"/>
              <w:shd w:val="clear"/>
              <w:rPr>
                <w:highlight w:val="none"/>
                <w:lang w:val="en-US"/>
              </w:rPr>
            </w:pPr>
            <w:r>
              <w:rPr>
                <w:highlight w:val="none"/>
              </w:rPr>
              <w:t>ИНН</w:t>
            </w:r>
            <w:r>
              <w:rPr>
                <w:highlight w:val="none"/>
                <w:lang w:val="en-US"/>
              </w:rPr>
              <w:t xml:space="preserve"> 5032004536</w:t>
            </w:r>
          </w:p>
          <w:p w14:paraId="6CB7A7F2">
            <w:pPr>
              <w:pStyle w:val="20"/>
              <w:shd w:val="clear"/>
              <w:rPr>
                <w:highlight w:val="none"/>
                <w:lang w:val="en-US"/>
              </w:rPr>
            </w:pPr>
            <w:r>
              <w:rPr>
                <w:highlight w:val="none"/>
              </w:rPr>
              <w:t>КПП</w:t>
            </w:r>
            <w:r>
              <w:rPr>
                <w:highlight w:val="none"/>
                <w:lang w:val="en-US"/>
              </w:rPr>
              <w:t xml:space="preserve"> 503201001</w:t>
            </w:r>
          </w:p>
          <w:p w14:paraId="5CB2E440">
            <w:pPr>
              <w:pStyle w:val="20"/>
              <w:shd w:val="clear"/>
              <w:rPr>
                <w:highlight w:val="none"/>
                <w:lang w:val="en-US"/>
              </w:rPr>
            </w:pPr>
            <w:r>
              <w:rPr>
                <w:highlight w:val="none"/>
              </w:rPr>
              <w:t>ОГРН</w:t>
            </w:r>
            <w:r>
              <w:rPr>
                <w:highlight w:val="none"/>
                <w:lang w:val="en-US"/>
              </w:rPr>
              <w:t xml:space="preserve"> 1035006457166</w:t>
            </w:r>
          </w:p>
        </w:tc>
        <w:tc>
          <w:tcPr>
            <w:tcW w:w="5633" w:type="dxa"/>
            <w:shd w:val="clear" w:color="auto" w:fill="auto"/>
          </w:tcPr>
          <w:p w14:paraId="55EB5679">
            <w:pPr>
              <w:pStyle w:val="20"/>
              <w:shd w:val="clear"/>
              <w:rPr>
                <w:highlight w:val="none"/>
                <w:lang w:val="en-US"/>
              </w:rPr>
            </w:pPr>
            <w:r>
              <w:rPr>
                <w:highlight w:val="none"/>
              </w:rPr>
              <w:t>Почтовый</w:t>
            </w:r>
            <w:r>
              <w:rPr>
                <w:highlight w:val="none"/>
                <w:lang w:val="en-US"/>
              </w:rPr>
              <w:t xml:space="preserve"> </w:t>
            </w:r>
            <w:r>
              <w:rPr>
                <w:highlight w:val="none"/>
              </w:rPr>
              <w:t>адрес</w:t>
            </w:r>
            <w:r>
              <w:rPr>
                <w:highlight w:val="none"/>
                <w:lang w:val="en-US"/>
              </w:rPr>
              <w:t xml:space="preserve">: ________________</w:t>
            </w:r>
          </w:p>
          <w:p w14:paraId="40613706">
            <w:pPr>
              <w:pStyle w:val="20"/>
              <w:shd w:val="clear"/>
              <w:rPr>
                <w:highlight w:val="none"/>
                <w:lang w:val="en-US"/>
              </w:rPr>
            </w:pPr>
            <w:r>
              <w:rPr>
                <w:highlight w:val="none"/>
              </w:rPr>
              <w:t>Место</w:t>
            </w:r>
            <w:r>
              <w:rPr>
                <w:highlight w:val="none"/>
                <w:lang w:val="en-US"/>
              </w:rPr>
              <w:t xml:space="preserve"> </w:t>
            </w:r>
            <w:r>
              <w:rPr>
                <w:highlight w:val="none"/>
              </w:rPr>
              <w:t>нахождения</w:t>
            </w:r>
            <w:r>
              <w:rPr>
                <w:highlight w:val="none"/>
                <w:lang w:val="en-US"/>
              </w:rPr>
              <w:t xml:space="preserve">, </w:t>
            </w:r>
            <w:r>
              <w:rPr>
                <w:highlight w:val="none"/>
              </w:rPr>
              <w:t>адрес</w:t>
            </w:r>
            <w:r>
              <w:rPr>
                <w:highlight w:val="none"/>
                <w:lang w:val="en-US"/>
              </w:rPr>
              <w:t xml:space="preserve">: ________________</w:t>
            </w:r>
          </w:p>
          <w:p w14:paraId="6C88BD90">
            <w:pPr>
              <w:pStyle w:val="20"/>
              <w:shd w:val="clear"/>
              <w:rPr>
                <w:rStyle w:val="11"/>
                <w:color w:val="auto"/>
                <w:highlight w:val="none"/>
                <w:u w:val="none"/>
                <w:lang w:val="en-US"/>
              </w:rPr>
            </w:pPr>
            <w:r>
              <w:rPr>
                <w:highlight w:val="none"/>
              </w:rPr>
              <w:t>ИНН</w:t>
            </w:r>
            <w:r>
              <w:rPr>
                <w:highlight w:val="none"/>
                <w:lang w:val="en-US"/>
              </w:rPr>
              <w:t xml:space="preserve"> </w:t>
            </w:r>
            <w:r>
              <w:rPr>
                <w:rStyle w:val="11"/>
                <w:color w:val="auto"/>
                <w:highlight w:val="none"/>
                <w:u w:val="none"/>
                <w:lang w:val="en-US"/>
              </w:rPr>
              <w:t xml:space="preserve">________________</w:t>
            </w:r>
          </w:p>
          <w:p w14:paraId="79DCE523">
            <w:pPr>
              <w:pStyle w:val="20"/>
              <w:shd w:val="clear"/>
              <w:rPr>
                <w:highlight w:val="none"/>
                <w:lang w:val="en-US"/>
              </w:rPr>
            </w:pPr>
            <w:r>
              <w:rPr>
                <w:highlight w:val="none"/>
                <w:lang w:eastAsia="en-US"/>
              </w:rPr>
              <w:t>КПП</w:t>
            </w:r>
            <w:r>
              <w:rPr>
                <w:highlight w:val="none"/>
                <w:lang w:val="en-US" w:eastAsia="en-US"/>
              </w:rPr>
              <w:t xml:space="preserve"> </w:t>
            </w:r>
            <w:r>
              <w:rPr>
                <w:highlight w:val="none"/>
                <w:lang w:eastAsia="en-US"/>
              </w:rPr>
              <w:t>КН</w:t>
            </w:r>
            <w:r>
              <w:rPr>
                <w:highlight w:val="none"/>
                <w:lang w:val="en-US" w:eastAsia="en-US"/>
              </w:rPr>
              <w:t xml:space="preserve"> ________________</w:t>
            </w:r>
            <w:r>
              <w:rPr>
                <w:rFonts w:cstheme="minorHAnsi"/>
                <w:highlight w:val="none"/>
                <w:lang w:val="en-AU"/>
              </w:rPr>
              <w:t/>
            </w:r>
            <w:r>
              <w:rPr>
                <w:rFonts w:cstheme="minorHAnsi"/>
                <w:highlight w:val="none"/>
                <w:lang w:val="en-US"/>
              </w:rPr>
              <w:t/>
            </w:r>
            <w:r>
              <w:rPr>
                <w:rFonts w:cstheme="minorHAnsi"/>
                <w:highlight w:val="none"/>
                <w:lang w:val="en-AU"/>
              </w:rPr>
              <w:t/>
            </w:r>
            <w:r>
              <w:rPr>
                <w:rFonts w:cstheme="minorHAnsi"/>
                <w:highlight w:val="none"/>
                <w:lang w:val="en-US"/>
              </w:rPr>
              <w:t xml:space="preserve"/>
            </w:r>
          </w:p>
          <w:p w14:paraId="2CFEA815">
            <w:pPr>
              <w:pStyle w:val="20"/>
              <w:shd w:val="clear"/>
              <w:rPr>
                <w:highlight w:val="none"/>
                <w:lang w:val="en-US"/>
              </w:rPr>
            </w:pPr>
            <w:r>
              <w:rPr>
                <w:highlight w:val="none"/>
              </w:rPr>
              <w:t>КПП</w:t>
            </w:r>
            <w:r>
              <w:rPr>
                <w:highlight w:val="none"/>
                <w:lang w:val="en-US"/>
              </w:rPr>
              <w:t xml:space="preserve"> ________________</w:t>
            </w:r>
          </w:p>
          <w:p w14:paraId="46572515">
            <w:pPr>
              <w:pStyle w:val="20"/>
              <w:shd w:val="clear"/>
              <w:rPr>
                <w:highlight w:val="none"/>
                <w:lang w:val="en-US"/>
              </w:rPr>
            </w:pPr>
            <w:r>
              <w:rPr>
                <w:highlight w:val="none"/>
              </w:rPr>
              <w:t>ОГРН</w:t>
            </w:r>
            <w:r>
              <w:rPr>
                <w:highlight w:val="none"/>
                <w:lang w:val="en-US"/>
              </w:rPr>
              <w:t xml:space="preserve"> ________________</w:t>
            </w:r>
          </w:p>
        </w:tc>
      </w:tr>
      <w:tr w14:paraId="5B7BE0FC">
        <w:tblPrEx>
          <w:tblCellMar>
            <w:top w:w="0" w:type="dxa"/>
            <w:left w:w="108" w:type="dxa"/>
            <w:bottom w:w="0" w:type="dxa"/>
            <w:right w:w="108" w:type="dxa"/>
          </w:tblCellMar>
        </w:tblPrEx>
        <w:trPr>
          <w:trHeight w:val="268" w:hRule="atLeast"/>
        </w:trPr>
        <w:tc>
          <w:tcPr>
            <w:tcW w:w="5075" w:type="dxa"/>
            <w:shd w:val="clear" w:color="auto" w:fill="auto"/>
          </w:tcPr>
          <w:p w14:paraId="7BB09B53">
            <w:pPr>
              <w:pStyle w:val="20"/>
              <w:shd w:val="clear"/>
              <w:rPr>
                <w:highlight w:val="none"/>
              </w:rPr>
            </w:pPr>
            <w:r>
              <w:rPr>
                <w:highlight w:val="none"/>
              </w:rPr>
              <w:t>Банковские реквизиты:</w:t>
            </w:r>
          </w:p>
        </w:tc>
        <w:tc>
          <w:tcPr>
            <w:tcW w:w="5633" w:type="dxa"/>
            <w:shd w:val="clear" w:color="auto" w:fill="auto"/>
          </w:tcPr>
          <w:p w14:paraId="4143A774">
            <w:pPr>
              <w:pStyle w:val="20"/>
              <w:shd w:val="clear"/>
              <w:rPr>
                <w:highlight w:val="none"/>
              </w:rPr>
            </w:pPr>
            <w:r>
              <w:rPr>
                <w:highlight w:val="none"/>
              </w:rPr>
              <w:t>Банковские реквизиты:</w:t>
            </w:r>
          </w:p>
        </w:tc>
      </w:tr>
      <w:tr w14:paraId="0914C649">
        <w:tblPrEx>
          <w:tblCellMar>
            <w:top w:w="0" w:type="dxa"/>
            <w:left w:w="108" w:type="dxa"/>
            <w:bottom w:w="0" w:type="dxa"/>
            <w:right w:w="108" w:type="dxa"/>
          </w:tblCellMar>
        </w:tblPrEx>
        <w:trPr>
          <w:trHeight w:val="1370" w:hRule="atLeast"/>
        </w:trPr>
        <w:tc>
          <w:tcPr>
            <w:tcW w:w="5075" w:type="dxa"/>
            <w:shd w:val="clear" w:color="auto" w:fill="auto"/>
          </w:tcPr>
          <w:p w14:paraId="3A730734">
            <w:pPr>
              <w:pStyle w:val="20"/>
              <w:shd w:val="clear"/>
              <w:rPr>
                <w:highlight w:val="none"/>
                <w:lang w:val="en-US"/>
              </w:rPr>
            </w:pPr>
            <w:r>
              <w:rPr>
                <w:rFonts w:cstheme="minorHAnsi"/>
                <w:highlight w:val="none"/>
                <w:shd w:val="clear" w:color="auto" w:fill="FFFFFF"/>
                <w:lang w:val="en-US"/>
              </w:rPr>
              <w:t xml:space="preserve">Министерство экономики и финансов Московской области  (ГАУК МО «Государственный историко-литературный музей-заповедник А.С.Пушкина»)</w:t>
            </w:r>
            <w:r>
              <w:rPr>
                <w:highlight w:val="none"/>
                <w:lang w:val="en-US" w:eastAsia="en-US"/>
              </w:rPr>
              <w:t xml:space="preserve"> </w:t>
            </w:r>
            <w:r>
              <w:rPr>
                <w:rFonts w:cstheme="minorHAnsi"/>
                <w:highlight w:val="none"/>
                <w:shd w:val="clear" w:color="auto" w:fill="FFFFFF"/>
                <w:lang w:val="en-US"/>
              </w:rPr>
              <w:t>(</w:t>
            </w:r>
            <w:r>
              <w:rPr>
                <w:rFonts w:cstheme="minorHAnsi"/>
                <w:highlight w:val="none"/>
                <w:shd w:val="clear" w:color="auto" w:fill="FFFFFF"/>
              </w:rPr>
              <w:t>л</w:t>
            </w:r>
            <w:r>
              <w:rPr>
                <w:rFonts w:cstheme="minorHAnsi"/>
                <w:highlight w:val="none"/>
                <w:shd w:val="clear" w:color="auto" w:fill="FFFFFF"/>
                <w:lang w:val="en-US"/>
              </w:rPr>
              <w:t>/</w:t>
            </w:r>
            <w:r>
              <w:rPr>
                <w:rFonts w:cstheme="minorHAnsi"/>
                <w:highlight w:val="none"/>
                <w:shd w:val="clear" w:color="auto" w:fill="FFFFFF"/>
              </w:rPr>
              <w:t>с</w:t>
            </w:r>
            <w:r>
              <w:rPr>
                <w:rFonts w:cstheme="minorHAnsi"/>
                <w:highlight w:val="none"/>
                <w:shd w:val="clear" w:color="auto" w:fill="FFFFFF"/>
                <w:lang w:val="en-US"/>
              </w:rPr>
              <w:t xml:space="preserve"> </w:t>
            </w:r>
            <w:r>
              <w:rPr>
                <w:highlight w:val="none"/>
                <w:lang w:val="en-US" w:eastAsia="en-US"/>
              </w:rPr>
              <w:t xml:space="preserve">30018J02840,  ГАУК МО «Музей-заповедник А.С. Пушкина»</w:t>
            </w:r>
            <w:r>
              <w:rPr>
                <w:rFonts w:cstheme="minorHAnsi"/>
                <w:highlight w:val="none"/>
                <w:shd w:val="clear" w:color="auto" w:fill="FFFFFF"/>
                <w:lang w:val="en-US"/>
              </w:rPr>
              <w:t>)</w:t>
            </w:r>
          </w:p>
        </w:tc>
        <w:tc>
          <w:tcPr>
            <w:tcW w:w="5633" w:type="dxa"/>
            <w:shd w:val="clear" w:color="auto" w:fill="auto"/>
          </w:tcPr>
          <w:p w14:paraId="69E81FB1">
            <w:pPr>
              <w:pStyle w:val="20"/>
              <w:shd w:val="clear"/>
              <w:rPr>
                <w:highlight w:val="none"/>
                <w:lang w:val="en-US"/>
              </w:rPr>
            </w:pPr>
            <w:r>
              <w:rPr>
                <w:rFonts w:cstheme="minorHAnsi"/>
                <w:highlight w:val="none"/>
                <w:shd w:val="clear" w:color="auto" w:fill="FFFFFF"/>
                <w:lang w:val="en-US"/>
              </w:rPr>
              <w:t xml:space="preserve"/>
            </w:r>
            <w:r>
              <w:rPr>
                <w:highlight w:val="none"/>
                <w:lang w:val="en-US"/>
              </w:rPr>
              <w:t xml:space="preserve"> (</w:t>
            </w:r>
            <w:r>
              <w:rPr>
                <w:highlight w:val="none"/>
              </w:rPr>
              <w:t>л</w:t>
            </w:r>
            <w:r>
              <w:rPr>
                <w:highlight w:val="none"/>
                <w:lang w:val="en-US"/>
              </w:rPr>
              <w:t>/</w:t>
            </w:r>
            <w:r>
              <w:rPr>
                <w:highlight w:val="none"/>
              </w:rPr>
              <w:t>с</w:t>
            </w:r>
            <w:r>
              <w:rPr>
                <w:highlight w:val="none"/>
                <w:lang w:val="en-US"/>
              </w:rPr>
              <w:t xml:space="preserve"> ________________</w:t>
            </w:r>
            <w:r>
              <w:rPr>
                <w:rStyle w:val="11"/>
                <w:color w:val="auto"/>
                <w:highlight w:val="none"/>
                <w:u w:val="none"/>
                <w:lang w:val="en-US"/>
              </w:rPr>
              <w:t xml:space="preserve">________________</w:t>
            </w:r>
            <w:r>
              <w:rPr>
                <w:highlight w:val="none"/>
                <w:lang w:val="en-US"/>
              </w:rPr>
              <w:t>)</w:t>
            </w:r>
          </w:p>
        </w:tc>
      </w:tr>
      <w:tr w14:paraId="174C4BB4">
        <w:tblPrEx>
          <w:tblCellMar>
            <w:top w:w="0" w:type="dxa"/>
            <w:left w:w="108" w:type="dxa"/>
            <w:bottom w:w="0" w:type="dxa"/>
            <w:right w:w="108" w:type="dxa"/>
          </w:tblCellMar>
        </w:tblPrEx>
        <w:trPr>
          <w:trHeight w:val="1638" w:hRule="atLeast"/>
        </w:trPr>
        <w:tc>
          <w:tcPr>
            <w:tcW w:w="5075" w:type="dxa"/>
            <w:shd w:val="clear" w:color="auto" w:fill="auto"/>
          </w:tcPr>
          <w:p w14:paraId="7D079118">
            <w:pPr>
              <w:pStyle w:val="20"/>
              <w:shd w:val="clear"/>
              <w:rPr>
                <w:highlight w:val="none"/>
                <w:lang w:val="en-US"/>
              </w:rPr>
            </w:pPr>
            <w:r>
              <w:rPr>
                <w:highlight w:val="none"/>
              </w:rPr>
              <w:t>Банк</w:t>
            </w:r>
            <w:r>
              <w:rPr>
                <w:highlight w:val="none"/>
                <w:lang w:val="en-US"/>
              </w:rPr>
              <w:t xml:space="preserve">: ОКЦ № 1 ГУ БАНКА РОССИИ ПО ЦФО//УФК по Московской области г.Москва</w:t>
            </w:r>
          </w:p>
          <w:p w14:paraId="265636DD">
            <w:pPr>
              <w:pStyle w:val="20"/>
              <w:shd w:val="clear"/>
              <w:rPr>
                <w:highlight w:val="none"/>
                <w:lang w:val="en-US"/>
              </w:rPr>
            </w:pPr>
            <w:r>
              <w:rPr>
                <w:highlight w:val="none"/>
              </w:rPr>
              <w:t>БИК</w:t>
            </w:r>
            <w:r>
              <w:rPr>
                <w:highlight w:val="none"/>
                <w:lang w:val="en-US"/>
              </w:rPr>
              <w:t xml:space="preserve"> 004525987</w:t>
            </w:r>
          </w:p>
          <w:p w14:paraId="5539315A">
            <w:pPr>
              <w:shd w:val="clear"/>
              <w:ind w:firstLine="34"/>
              <w:rPr>
                <w:rFonts w:cstheme="minorHAnsi"/>
                <w:highlight w:val="none"/>
                <w:shd w:val="clear" w:color="auto" w:fill="FFFFFF"/>
                <w:lang w:val="en-US"/>
              </w:rPr>
            </w:pPr>
            <w:r>
              <w:rPr>
                <w:highlight w:val="none"/>
                <w:lang w:val="en-US" w:eastAsia="en-US"/>
              </w:rPr>
              <w:t xml:space="preserve"> 03224643460000004800</w:t>
            </w:r>
            <w:r>
              <w:rPr>
                <w:rFonts w:cstheme="minorHAnsi"/>
                <w:highlight w:val="none"/>
                <w:shd w:val="clear" w:color="auto" w:fill="FFFFFF"/>
                <w:lang w:val="en-US"/>
              </w:rPr>
              <w:t/>
            </w:r>
          </w:p>
          <w:p w14:paraId="53014AE3">
            <w:pPr>
              <w:pStyle w:val="20"/>
              <w:shd w:val="clear"/>
              <w:rPr>
                <w:highlight w:val="none"/>
                <w:lang w:val="en-US"/>
              </w:rPr>
            </w:pPr>
            <w:r>
              <w:rPr>
                <w:highlight w:val="none"/>
                <w:lang w:val="en-US" w:eastAsia="en-US"/>
              </w:rPr>
              <w:t xml:space="preserve"> 40102810845370000004</w:t>
            </w:r>
          </w:p>
          <w:p w14:paraId="73A2D43B">
            <w:pPr>
              <w:pStyle w:val="20"/>
              <w:shd w:val="clear"/>
              <w:rPr>
                <w:highlight w:val="none"/>
                <w:lang w:val="en-US"/>
              </w:rPr>
            </w:pPr>
            <w:r>
              <w:rPr>
                <w:highlight w:val="none"/>
              </w:rPr>
              <w:t>ОКПО</w:t>
            </w:r>
            <w:r>
              <w:rPr>
                <w:highlight w:val="none"/>
                <w:lang w:val="en-US"/>
              </w:rPr>
              <w:t xml:space="preserve"> 01681462</w:t>
            </w:r>
          </w:p>
          <w:p w14:paraId="2C0A6F8C">
            <w:pPr>
              <w:pStyle w:val="20"/>
              <w:shd w:val="clear"/>
              <w:rPr>
                <w:highlight w:val="none"/>
                <w:lang w:val="en-US"/>
              </w:rPr>
            </w:pPr>
            <w:r>
              <w:rPr>
                <w:highlight w:val="none"/>
              </w:rPr>
              <w:t>ОКТМО</w:t>
            </w:r>
            <w:r>
              <w:rPr>
                <w:highlight w:val="none"/>
                <w:lang w:val="en-US"/>
              </w:rPr>
              <w:t xml:space="preserve"> 46755000056</w:t>
            </w:r>
          </w:p>
          <w:p w14:paraId="48B4DF9B">
            <w:pPr>
              <w:pStyle w:val="20"/>
              <w:shd w:val="clear"/>
              <w:rPr>
                <w:highlight w:val="none"/>
                <w:lang w:val="en-US"/>
              </w:rPr>
            </w:pPr>
            <w:r>
              <w:rPr>
                <w:highlight w:val="none"/>
                <w:lang w:eastAsia="en-US"/>
              </w:rPr>
              <w:t xml:space="preserve">ОКОПФ </w:t>
            </w:r>
            <w:r>
              <w:rPr>
                <w:highlight w:val="none"/>
                <w:lang w:val="en-US" w:eastAsia="en-US"/>
              </w:rPr>
              <w:t xml:space="preserve">75201</w:t>
            </w:r>
            <w:r>
              <w:rPr>
                <w:rFonts w:cstheme="minorHAnsi"/>
                <w:color w:val="222222"/>
                <w:highlight w:val="none"/>
                <w:shd w:val="clear" w:color="auto" w:fill="FFFFFF"/>
              </w:rPr>
              <w:t/>
            </w:r>
            <w:r>
              <w:rPr>
                <w:highlight w:val="none"/>
                <w:lang w:val="en-US" w:eastAsia="en-US"/>
              </w:rPr>
              <w:t xml:space="preserve"/>
            </w:r>
          </w:p>
        </w:tc>
        <w:tc>
          <w:tcPr>
            <w:tcW w:w="5633" w:type="dxa"/>
            <w:shd w:val="clear" w:color="auto" w:fill="auto"/>
          </w:tcPr>
          <w:p w14:paraId="5DF32708">
            <w:pPr>
              <w:pStyle w:val="20"/>
              <w:shd w:val="clear"/>
              <w:rPr>
                <w:highlight w:val="none"/>
                <w:lang w:val="en-US"/>
              </w:rPr>
            </w:pPr>
            <w:r>
              <w:rPr>
                <w:highlight w:val="none"/>
              </w:rPr>
              <w:t>Банк</w:t>
            </w:r>
            <w:r>
              <w:rPr>
                <w:highlight w:val="none"/>
                <w:lang w:val="en-US"/>
              </w:rPr>
              <w:t xml:space="preserve">: ________________</w:t>
            </w:r>
          </w:p>
          <w:p w14:paraId="542D430F">
            <w:pPr>
              <w:pStyle w:val="20"/>
              <w:shd w:val="clear"/>
              <w:rPr>
                <w:highlight w:val="none"/>
                <w:lang w:val="en-US"/>
              </w:rPr>
            </w:pPr>
            <w:r>
              <w:rPr>
                <w:highlight w:val="none"/>
              </w:rPr>
              <w:t>БИК</w:t>
            </w:r>
            <w:r>
              <w:rPr>
                <w:highlight w:val="none"/>
                <w:lang w:val="en-US"/>
              </w:rPr>
              <w:t xml:space="preserve"> ________________</w:t>
            </w:r>
          </w:p>
          <w:p w14:paraId="117DBDB2">
            <w:pPr>
              <w:pStyle w:val="20"/>
              <w:shd w:val="clear"/>
              <w:rPr>
                <w:highlight w:val="none"/>
                <w:lang w:val="en-US"/>
              </w:rPr>
            </w:pPr>
            <w:r>
              <w:rPr>
                <w:highlight w:val="none"/>
                <w:lang w:val="en-US"/>
              </w:rPr>
              <w:t xml:space="preserve"/>
            </w:r>
            <w:r>
              <w:rPr>
                <w:highlight w:val="none"/>
                <w:lang w:val="en-US"/>
              </w:rPr>
              <w:t xml:space="preserve"/>
            </w:r>
            <w:r>
              <w:rPr>
                <w:rFonts w:hint="default"/>
                <w:highlight w:val="none"/>
              </w:rPr>
              <w:t/>
            </w:r>
            <w:r>
              <w:rPr>
                <w:rFonts w:hint="default"/>
                <w:highlight w:val="none"/>
                <w:lang w:val="ru-RU"/>
              </w:rPr>
              <w:t/>
            </w:r>
            <w:r>
              <w:rPr>
                <w:highlight w:val="none"/>
                <w:lang w:val="en-US"/>
              </w:rPr>
              <w:t xml:space="preserve"/>
            </w:r>
            <w:r>
              <w:rPr>
                <w:highlight w:val="none"/>
                <w:lang w:val="en-US"/>
              </w:rPr>
              <w:t xml:space="preserve"> ________________</w:t>
            </w:r>
          </w:p>
          <w:p w14:paraId="2D86CA55">
            <w:pPr>
              <w:pStyle w:val="20"/>
              <w:shd w:val="clear"/>
              <w:rPr>
                <w:highlight w:val="none"/>
                <w:lang w:val="en-US"/>
              </w:rPr>
            </w:pPr>
            <w:r>
              <w:rPr>
                <w:highlight w:val="none"/>
                <w:lang w:val="en-US"/>
              </w:rPr>
              <w:t xml:space="preserve"/>
            </w:r>
            <w:r>
              <w:rPr>
                <w:highlight w:val="none"/>
                <w:lang w:val="en-US"/>
              </w:rPr>
              <w:t xml:space="preserve"/>
            </w:r>
            <w:r>
              <w:rPr>
                <w:rFonts w:hint="default"/>
                <w:highlight w:val="none"/>
              </w:rPr>
              <w:t/>
            </w:r>
            <w:r>
              <w:rPr>
                <w:rFonts w:hint="default"/>
                <w:highlight w:val="none"/>
                <w:lang w:val="ru-RU"/>
              </w:rPr>
              <w:t/>
            </w:r>
            <w:r>
              <w:rPr>
                <w:highlight w:val="none"/>
                <w:lang w:val="en-US"/>
              </w:rPr>
              <w:t xml:space="preserve"/>
            </w:r>
            <w:r>
              <w:rPr>
                <w:highlight w:val="none"/>
                <w:lang w:val="en-US"/>
              </w:rPr>
              <w:t xml:space="preserve"> ________________</w:t>
            </w:r>
          </w:p>
          <w:p w14:paraId="270CD8F3">
            <w:pPr>
              <w:pStyle w:val="20"/>
              <w:shd w:val="clear"/>
              <w:rPr>
                <w:highlight w:val="none"/>
                <w:lang w:val="en-US"/>
              </w:rPr>
            </w:pPr>
            <w:r>
              <w:rPr>
                <w:highlight w:val="none"/>
              </w:rPr>
              <w:t>ОКПО</w:t>
            </w:r>
            <w:r>
              <w:rPr>
                <w:highlight w:val="none"/>
                <w:lang w:val="en-US"/>
              </w:rPr>
              <w:t xml:space="preserve"> ________________</w:t>
            </w:r>
          </w:p>
          <w:p w14:paraId="5110144C">
            <w:pPr>
              <w:pStyle w:val="20"/>
              <w:shd w:val="clear"/>
              <w:rPr>
                <w:highlight w:val="none"/>
                <w:lang w:val="en-US"/>
              </w:rPr>
            </w:pPr>
            <w:r>
              <w:rPr>
                <w:highlight w:val="none"/>
              </w:rPr>
              <w:t>ОКТМО</w:t>
            </w:r>
            <w:r>
              <w:rPr>
                <w:highlight w:val="none"/>
                <w:lang w:val="en-US"/>
              </w:rPr>
              <w:t xml:space="preserve"> ________________</w:t>
            </w:r>
          </w:p>
          <w:p w14:paraId="32EBB35A">
            <w:pPr>
              <w:pStyle w:val="20"/>
              <w:shd w:val="clear"/>
              <w:rPr>
                <w:highlight w:val="none"/>
                <w:lang w:val="en-US"/>
              </w:rPr>
            </w:pPr>
            <w:r>
              <w:rPr>
                <w:highlight w:val="none"/>
                <w:lang w:eastAsia="en-US"/>
              </w:rPr>
              <w:t>ОКОПФ</w:t>
            </w:r>
            <w:r>
              <w:rPr>
                <w:highlight w:val="none"/>
                <w:lang w:val="en-US" w:eastAsia="en-US"/>
              </w:rPr>
              <w:t xml:space="preserve"> ________________</w:t>
            </w:r>
            <w:r>
              <w:rPr>
                <w:rFonts w:cstheme="minorHAnsi"/>
                <w:color w:val="222222"/>
                <w:highlight w:val="none"/>
                <w:shd w:val="clear" w:color="auto" w:fill="FFFFFF"/>
                <w:lang w:val="en-US"/>
              </w:rPr>
              <w:t/>
            </w:r>
            <w:r>
              <w:rPr>
                <w:highlight w:val="none"/>
                <w:lang w:val="en-US" w:eastAsia="en-US"/>
              </w:rPr>
              <w:t xml:space="preserve"/>
            </w:r>
          </w:p>
        </w:tc>
      </w:tr>
      <w:tr w14:paraId="10D0B4D9">
        <w:tblPrEx>
          <w:tblCellMar>
            <w:top w:w="0" w:type="dxa"/>
            <w:left w:w="108" w:type="dxa"/>
            <w:bottom w:w="0" w:type="dxa"/>
            <w:right w:w="108" w:type="dxa"/>
          </w:tblCellMar>
        </w:tblPrEx>
        <w:trPr>
          <w:trHeight w:val="819" w:hRule="atLeast"/>
        </w:trPr>
        <w:tc>
          <w:tcPr>
            <w:tcW w:w="5075" w:type="dxa"/>
            <w:shd w:val="clear" w:color="auto" w:fill="auto"/>
          </w:tcPr>
          <w:p w14:paraId="65010138">
            <w:pPr>
              <w:pStyle w:val="20"/>
              <w:shd w:val="clear"/>
              <w:rPr>
                <w:highlight w:val="none"/>
              </w:rPr>
            </w:pPr>
            <w:r>
              <w:rPr>
                <w:highlight w:val="none"/>
              </w:rPr>
              <w:t xml:space="preserve">телефон (факс): +74955982255</w:t>
            </w:r>
            <w:r>
              <w:rPr>
                <w:highlight w:val="none"/>
                <w:lang w:val="en-US"/>
              </w:rPr>
              <w:t/>
            </w:r>
            <w:r>
              <w:rPr>
                <w:highlight w:val="none"/>
              </w:rPr>
              <w:t xml:space="preserve"/>
            </w:r>
          </w:p>
          <w:p w14:paraId="7298B076">
            <w:pPr>
              <w:pStyle w:val="20"/>
              <w:shd w:val="clear"/>
              <w:rPr>
                <w:highlight w:val="none"/>
              </w:rPr>
            </w:pPr>
            <w:r>
              <w:rPr>
                <w:highlight w:val="none"/>
              </w:rPr>
              <w:t xml:space="preserve">адрес электронной почты: museum-gol@yandex.ru</w:t>
            </w:r>
            <w:r>
              <w:rPr>
                <w:highlight w:val="none"/>
                <w:lang w:val="en-US"/>
              </w:rPr>
              <w:t/>
            </w:r>
            <w:r>
              <w:rPr>
                <w:highlight w:val="none"/>
              </w:rPr>
              <w:t xml:space="preserve"/>
            </w:r>
          </w:p>
        </w:tc>
        <w:tc>
          <w:tcPr>
            <w:tcW w:w="5633" w:type="dxa"/>
            <w:shd w:val="clear" w:color="auto" w:fill="auto"/>
          </w:tcPr>
          <w:p w14:paraId="66B68704">
            <w:pPr>
              <w:pStyle w:val="20"/>
              <w:shd w:val="clear"/>
              <w:rPr>
                <w:highlight w:val="none"/>
              </w:rPr>
            </w:pPr>
            <w:r>
              <w:rPr>
                <w:highlight w:val="none"/>
              </w:rPr>
              <w:t xml:space="preserve">телефон (факс): ________________</w:t>
            </w:r>
            <w:r>
              <w:rPr>
                <w:highlight w:val="none"/>
                <w:lang w:val="en-US"/>
              </w:rPr>
              <w:t/>
            </w:r>
            <w:r>
              <w:rPr>
                <w:highlight w:val="none"/>
              </w:rPr>
              <w:t xml:space="preserve"/>
            </w:r>
          </w:p>
          <w:p w14:paraId="4AFC6114">
            <w:pPr>
              <w:pStyle w:val="20"/>
              <w:shd w:val="clear"/>
              <w:rPr>
                <w:highlight w:val="none"/>
              </w:rPr>
            </w:pPr>
            <w:r>
              <w:rPr>
                <w:highlight w:val="none"/>
              </w:rPr>
              <w:t xml:space="preserve">адрес электронной почты: ________________</w:t>
            </w:r>
            <w:r>
              <w:rPr>
                <w:highlight w:val="none"/>
                <w:lang w:val="en-US"/>
              </w:rPr>
              <w:t/>
            </w:r>
            <w:r>
              <w:rPr>
                <w:highlight w:val="none"/>
              </w:rP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272D2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63BA1409">
            <w:pPr>
              <w:pStyle w:val="20"/>
              <w:shd w:val="clear"/>
              <w:rPr>
                <w:highlight w:val="none"/>
                <w:lang w:val="en-US"/>
              </w:rPr>
            </w:pPr>
            <w:r>
              <w:rPr>
                <w:highlight w:val="none"/>
                <w:lang w:val="en-US"/>
              </w:rPr>
              <w:t xml:space="preserve">Лизензиат:</w:t>
            </w:r>
          </w:p>
        </w:tc>
        <w:tc>
          <w:tcPr>
            <w:tcW w:w="5103" w:type="dxa"/>
            <w:gridSpan w:val="3"/>
          </w:tcPr>
          <w:p w14:paraId="749F87E4">
            <w:pPr>
              <w:pStyle w:val="20"/>
              <w:shd w:val="clear"/>
              <w:rPr>
                <w:highlight w:val="none"/>
                <w:lang w:val="en-US"/>
              </w:rPr>
            </w:pPr>
            <w:r>
              <w:rPr>
                <w:highlight w:val="none"/>
                <w:lang w:val="en-US"/>
              </w:rPr>
              <w:t xml:space="preserve">Лицензиар:</w:t>
            </w:r>
          </w:p>
        </w:tc>
      </w:tr>
      <w:tr w14:paraId="6702E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9796585">
            <w:pPr>
              <w:pStyle w:val="20"/>
              <w:shd w:val="clear"/>
              <w:rPr>
                <w:highlight w:val="none"/>
                <w:lang w:val="en-US"/>
              </w:rPr>
            </w:pPr>
          </w:p>
        </w:tc>
        <w:tc>
          <w:tcPr>
            <w:tcW w:w="1418" w:type="dxa"/>
          </w:tcPr>
          <w:p w14:paraId="11385C50">
            <w:pPr>
              <w:pStyle w:val="20"/>
              <w:shd w:val="clear"/>
              <w:rPr>
                <w:highlight w:val="none"/>
                <w:lang w:val="en-US"/>
              </w:rPr>
            </w:pPr>
          </w:p>
        </w:tc>
        <w:tc>
          <w:tcPr>
            <w:tcW w:w="1701" w:type="dxa"/>
          </w:tcPr>
          <w:p w14:paraId="3A3A16FF">
            <w:pPr>
              <w:pStyle w:val="20"/>
              <w:shd w:val="clear"/>
              <w:rPr>
                <w:highlight w:val="none"/>
                <w:lang w:val="en-US"/>
              </w:rPr>
            </w:pPr>
          </w:p>
        </w:tc>
        <w:tc>
          <w:tcPr>
            <w:tcW w:w="1842" w:type="dxa"/>
          </w:tcPr>
          <w:p w14:paraId="6190F55F">
            <w:pPr>
              <w:pStyle w:val="20"/>
              <w:shd w:val="clear"/>
              <w:rPr>
                <w:highlight w:val="none"/>
                <w:lang w:val="en-US"/>
              </w:rPr>
            </w:pPr>
          </w:p>
        </w:tc>
        <w:tc>
          <w:tcPr>
            <w:tcW w:w="1418" w:type="dxa"/>
          </w:tcPr>
          <w:p w14:paraId="11223B52">
            <w:pPr>
              <w:pStyle w:val="20"/>
              <w:shd w:val="clear"/>
              <w:rPr>
                <w:highlight w:val="none"/>
                <w:lang w:val="en-US"/>
              </w:rPr>
            </w:pPr>
          </w:p>
        </w:tc>
        <w:tc>
          <w:tcPr>
            <w:tcW w:w="1843" w:type="dxa"/>
          </w:tcPr>
          <w:p w14:paraId="694A6B4A">
            <w:pPr>
              <w:pStyle w:val="20"/>
              <w:shd w:val="clear"/>
              <w:rPr>
                <w:highlight w:val="none"/>
                <w:lang w:val="en-US"/>
              </w:rPr>
            </w:pPr>
          </w:p>
        </w:tc>
      </w:tr>
      <w:tr w14:paraId="1ABF6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745A61AF">
            <w:pPr>
              <w:pStyle w:val="20"/>
              <w:shd w:val="clear"/>
              <w:rPr>
                <w:highlight w:val="none"/>
                <w:lang w:val="en-US"/>
              </w:rPr>
            </w:pPr>
            <w:r>
              <w:rPr>
                <w:highlight w:val="none"/>
                <w:lang w:val="en-US"/>
              </w:rPr>
              <w:t xml:space="preserve">Директор</w:t>
            </w:r>
          </w:p>
        </w:tc>
        <w:tc>
          <w:tcPr>
            <w:tcW w:w="1418" w:type="dxa"/>
          </w:tcPr>
          <w:p w14:paraId="4A62664B">
            <w:pPr>
              <w:pStyle w:val="20"/>
              <w:shd w:val="clear"/>
              <w:rPr>
                <w:highlight w:val="none"/>
                <w:lang w:val="en-US"/>
              </w:rPr>
            </w:pPr>
            <w:r>
              <w:rPr>
                <w:highlight w:val="none"/>
                <w:lang w:val="en-US"/>
              </w:rPr>
              <w:t>__________</w:t>
            </w:r>
          </w:p>
        </w:tc>
        <w:tc>
          <w:tcPr>
            <w:tcW w:w="1701" w:type="dxa"/>
          </w:tcPr>
          <w:p w14:paraId="3BFB1E7E">
            <w:pPr>
              <w:pStyle w:val="20"/>
              <w:shd w:val="clear"/>
              <w:rPr>
                <w:highlight w:val="none"/>
                <w:lang w:val="en-US"/>
              </w:rPr>
            </w:pPr>
            <w:r>
              <w:rPr>
                <w:highlight w:val="none"/>
                <w:lang w:val="en-US"/>
              </w:rPr>
              <w:t xml:space="preserve">(А. М. РЯЗАНОВ)</w:t>
            </w:r>
          </w:p>
        </w:tc>
        <w:tc>
          <w:tcPr>
            <w:tcW w:w="1842" w:type="dxa"/>
          </w:tcPr>
          <w:p w14:paraId="2BCD9A0C">
            <w:pPr>
              <w:pStyle w:val="20"/>
              <w:shd w:val="clear"/>
              <w:rPr>
                <w:highlight w:val="none"/>
                <w:lang w:val="en-US"/>
              </w:rPr>
            </w:pPr>
            <w:r>
              <w:rPr>
                <w:highlight w:val="none"/>
                <w:lang w:val="en-US"/>
              </w:rPr>
              <w:t xml:space="preserve">________________</w:t>
            </w:r>
          </w:p>
        </w:tc>
        <w:tc>
          <w:tcPr>
            <w:tcW w:w="1418" w:type="dxa"/>
          </w:tcPr>
          <w:p w14:paraId="099B82C6">
            <w:pPr>
              <w:pStyle w:val="20"/>
              <w:shd w:val="clear"/>
              <w:rPr>
                <w:highlight w:val="none"/>
                <w:lang w:val="en-US"/>
              </w:rPr>
            </w:pPr>
            <w:r>
              <w:rPr>
                <w:highlight w:val="none"/>
                <w:lang w:val="en-US"/>
              </w:rPr>
              <w:t>__________</w:t>
            </w:r>
          </w:p>
        </w:tc>
        <w:tc>
          <w:tcPr>
            <w:tcW w:w="1843" w:type="dxa"/>
          </w:tcPr>
          <w:p w14:paraId="2DF49330">
            <w:pPr>
              <w:pStyle w:val="20"/>
              <w:shd w:val="clear"/>
              <w:rPr>
                <w:highlight w:val="none"/>
                <w:lang w:val="en-US"/>
              </w:rPr>
            </w:pPr>
            <w:r>
              <w:rPr>
                <w:highlight w:val="none"/>
                <w:lang w:val="en-US"/>
              </w:rPr>
              <w:t xml:space="preserve">(________________)</w:t>
            </w:r>
          </w:p>
        </w:tc>
      </w:tr>
    </w:tbl>
    <w:p w14:paraId="7E98B313">
      <w:pPr>
        <w:shd w:val="clear"/>
        <w:ind w:firstLine="0"/>
        <w:rPr>
          <w:highlight w:val="none"/>
        </w:rPr>
      </w:pPr>
    </w:p>
    <w:sectPr>
      <w:headerReference r:id="rId5" w:type="default"/>
      <w:pgSz w:w="11906" w:h="16838"/>
      <w:pgMar w:top="1134" w:right="567" w:bottom="1134" w:left="1134"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docPartObj>
        <w:docPartGallery w:val="autotext"/>
      </w:docPartObj>
    </w:sdtPr>
    <w:sdtContent>
      <w:p w14:paraId="4C1EA076">
        <w:pPr>
          <w:pStyle w:val="16"/>
          <w:jc w:val="center"/>
        </w:pPr>
        <w:r>
          <w:fldChar w:fldCharType="begin"/>
        </w:r>
        <w:r>
          <w:instrText xml:space="preserve">PAGE   \* MERGEFORMAT</w:instrText>
        </w:r>
        <w:r>
          <w:fldChar w:fldCharType="separate"/>
        </w:r>
        <w: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DE094E"/>
    <w:multiLevelType w:val="multilevel"/>
    <w:tmpl w:val="72DE094E"/>
    <w:lvl w:ilvl="0" w:tentative="0">
      <w:start w:val="1"/>
      <w:numFmt w:val="decimal"/>
      <w:pStyle w:val="37"/>
      <w:lvlText w:val="Приложение %1"/>
      <w:lvlJc w:val="right"/>
      <w:pPr>
        <w:ind w:left="5954" w:firstLine="0"/>
      </w:pPr>
      <w:rPr>
        <w:rFonts w:hint="default"/>
      </w:rPr>
    </w:lvl>
    <w:lvl w:ilvl="1" w:tentative="0">
      <w:start w:val="1"/>
      <w:numFmt w:val="lowerLetter"/>
      <w:lvlText w:val="%2."/>
      <w:lvlJc w:val="left"/>
      <w:pPr>
        <w:ind w:left="14198" w:hanging="360"/>
      </w:pPr>
    </w:lvl>
    <w:lvl w:ilvl="2" w:tentative="0">
      <w:start w:val="1"/>
      <w:numFmt w:val="lowerRoman"/>
      <w:lvlText w:val="%3."/>
      <w:lvlJc w:val="right"/>
      <w:pPr>
        <w:ind w:left="14918" w:hanging="180"/>
      </w:pPr>
    </w:lvl>
    <w:lvl w:ilvl="3" w:tentative="0">
      <w:start w:val="1"/>
      <w:numFmt w:val="decimal"/>
      <w:lvlText w:val="%4."/>
      <w:lvlJc w:val="left"/>
      <w:pPr>
        <w:ind w:left="15638" w:hanging="360"/>
      </w:pPr>
    </w:lvl>
    <w:lvl w:ilvl="4" w:tentative="0">
      <w:start w:val="1"/>
      <w:numFmt w:val="lowerLetter"/>
      <w:lvlText w:val="%5."/>
      <w:lvlJc w:val="left"/>
      <w:pPr>
        <w:ind w:left="16358" w:hanging="360"/>
      </w:pPr>
    </w:lvl>
    <w:lvl w:ilvl="5" w:tentative="0">
      <w:start w:val="1"/>
      <w:numFmt w:val="lowerRoman"/>
      <w:lvlText w:val="%6."/>
      <w:lvlJc w:val="right"/>
      <w:pPr>
        <w:ind w:left="17078" w:hanging="180"/>
      </w:pPr>
    </w:lvl>
    <w:lvl w:ilvl="6" w:tentative="0">
      <w:start w:val="1"/>
      <w:numFmt w:val="decimal"/>
      <w:lvlText w:val="%7."/>
      <w:lvlJc w:val="left"/>
      <w:pPr>
        <w:ind w:left="17798" w:hanging="360"/>
      </w:pPr>
    </w:lvl>
    <w:lvl w:ilvl="7" w:tentative="0">
      <w:start w:val="1"/>
      <w:numFmt w:val="lowerLetter"/>
      <w:lvlText w:val="%8."/>
      <w:lvlJc w:val="left"/>
      <w:pPr>
        <w:ind w:left="18518" w:hanging="360"/>
      </w:pPr>
    </w:lvl>
    <w:lvl w:ilvl="8" w:tentative="0">
      <w:start w:val="1"/>
      <w:numFmt w:val="lowerRoman"/>
      <w:lvlText w:val="%9."/>
      <w:lvlJc w:val="right"/>
      <w:pPr>
        <w:ind w:left="19238" w:hanging="180"/>
      </w:pPr>
    </w:lvl>
  </w:abstractNum>
  <w:abstractNum w:abstractNumId="1">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0" w:firstLine="709"/>
      </w:pPr>
      <w:rPr>
        <w:rFonts w:hint="default"/>
        <w:caps w:val="0"/>
        <w:strike w:val="0"/>
        <w:dstrike w:val="0"/>
        <w:vanish w:val="0"/>
        <w:sz w:val="24"/>
        <w:vertAlign w:val="baseline"/>
      </w:rPr>
    </w:lvl>
    <w:lvl w:ilvl="2" w:tentative="0">
      <w:start w:val="1"/>
      <w:numFmt w:val="decimal"/>
      <w:pStyle w:val="34"/>
      <w:suff w:val="space"/>
      <w:lvlText w:val="%1.%2.%3."/>
      <w:lvlJc w:val="left"/>
      <w:pPr>
        <w:ind w:left="851"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581D"/>
    <w:rsid w:val="0000719A"/>
    <w:rsid w:val="00007747"/>
    <w:rsid w:val="00007B6C"/>
    <w:rsid w:val="00010AA1"/>
    <w:rsid w:val="00012F6B"/>
    <w:rsid w:val="00020FEC"/>
    <w:rsid w:val="00021E71"/>
    <w:rsid w:val="0002542C"/>
    <w:rsid w:val="000331D8"/>
    <w:rsid w:val="00037629"/>
    <w:rsid w:val="00042D0D"/>
    <w:rsid w:val="00044111"/>
    <w:rsid w:val="00047C6D"/>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4D09"/>
    <w:rsid w:val="000A0286"/>
    <w:rsid w:val="000A1AAC"/>
    <w:rsid w:val="000A451A"/>
    <w:rsid w:val="000B0101"/>
    <w:rsid w:val="000B1548"/>
    <w:rsid w:val="000B4077"/>
    <w:rsid w:val="000B791E"/>
    <w:rsid w:val="000C0005"/>
    <w:rsid w:val="000C0A46"/>
    <w:rsid w:val="000C150C"/>
    <w:rsid w:val="000C1877"/>
    <w:rsid w:val="000C4A32"/>
    <w:rsid w:val="000C5318"/>
    <w:rsid w:val="000C7337"/>
    <w:rsid w:val="000E02B5"/>
    <w:rsid w:val="000E22AA"/>
    <w:rsid w:val="000F1630"/>
    <w:rsid w:val="000F3BD1"/>
    <w:rsid w:val="000F4493"/>
    <w:rsid w:val="000F47A6"/>
    <w:rsid w:val="000F4E22"/>
    <w:rsid w:val="00101346"/>
    <w:rsid w:val="00103DA3"/>
    <w:rsid w:val="0010612D"/>
    <w:rsid w:val="0011003C"/>
    <w:rsid w:val="00110E20"/>
    <w:rsid w:val="00116213"/>
    <w:rsid w:val="00116846"/>
    <w:rsid w:val="00117A43"/>
    <w:rsid w:val="00121E98"/>
    <w:rsid w:val="00124514"/>
    <w:rsid w:val="00126D35"/>
    <w:rsid w:val="00127159"/>
    <w:rsid w:val="001308A1"/>
    <w:rsid w:val="00131D8B"/>
    <w:rsid w:val="00137988"/>
    <w:rsid w:val="001408BB"/>
    <w:rsid w:val="0014451A"/>
    <w:rsid w:val="00144BE8"/>
    <w:rsid w:val="00146338"/>
    <w:rsid w:val="0015254C"/>
    <w:rsid w:val="001542E2"/>
    <w:rsid w:val="001624FD"/>
    <w:rsid w:val="00163957"/>
    <w:rsid w:val="001719EE"/>
    <w:rsid w:val="00175A21"/>
    <w:rsid w:val="00176885"/>
    <w:rsid w:val="00181280"/>
    <w:rsid w:val="001812EE"/>
    <w:rsid w:val="00182ED8"/>
    <w:rsid w:val="00184AEE"/>
    <w:rsid w:val="001879E0"/>
    <w:rsid w:val="00195ABA"/>
    <w:rsid w:val="001A72F2"/>
    <w:rsid w:val="001A7FDB"/>
    <w:rsid w:val="001B070B"/>
    <w:rsid w:val="001B4D90"/>
    <w:rsid w:val="001B5A67"/>
    <w:rsid w:val="001B79A3"/>
    <w:rsid w:val="001C04D3"/>
    <w:rsid w:val="001C51BB"/>
    <w:rsid w:val="001C6DA4"/>
    <w:rsid w:val="001D06BA"/>
    <w:rsid w:val="001D0D82"/>
    <w:rsid w:val="001D45A0"/>
    <w:rsid w:val="001D6564"/>
    <w:rsid w:val="001E1F34"/>
    <w:rsid w:val="001E5E6B"/>
    <w:rsid w:val="001F10C0"/>
    <w:rsid w:val="0020208C"/>
    <w:rsid w:val="00202D85"/>
    <w:rsid w:val="00204CFD"/>
    <w:rsid w:val="00206A56"/>
    <w:rsid w:val="00210141"/>
    <w:rsid w:val="0021049D"/>
    <w:rsid w:val="0021469F"/>
    <w:rsid w:val="0021529B"/>
    <w:rsid w:val="00220413"/>
    <w:rsid w:val="00220A6A"/>
    <w:rsid w:val="00221228"/>
    <w:rsid w:val="00221311"/>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6009"/>
    <w:rsid w:val="00267332"/>
    <w:rsid w:val="00270A0F"/>
    <w:rsid w:val="00270D00"/>
    <w:rsid w:val="002733FA"/>
    <w:rsid w:val="00275F54"/>
    <w:rsid w:val="00285FC4"/>
    <w:rsid w:val="002A2322"/>
    <w:rsid w:val="002A3515"/>
    <w:rsid w:val="002A488A"/>
    <w:rsid w:val="002A6BF1"/>
    <w:rsid w:val="002A6C91"/>
    <w:rsid w:val="002B4241"/>
    <w:rsid w:val="002C0840"/>
    <w:rsid w:val="002C6EBD"/>
    <w:rsid w:val="002C754D"/>
    <w:rsid w:val="002D50EA"/>
    <w:rsid w:val="002D6CEB"/>
    <w:rsid w:val="002E02BD"/>
    <w:rsid w:val="002E1505"/>
    <w:rsid w:val="002E36C8"/>
    <w:rsid w:val="002E3B97"/>
    <w:rsid w:val="002E43E7"/>
    <w:rsid w:val="002E4A18"/>
    <w:rsid w:val="002E677A"/>
    <w:rsid w:val="002E7C4D"/>
    <w:rsid w:val="002F0BFC"/>
    <w:rsid w:val="002F7145"/>
    <w:rsid w:val="003067BF"/>
    <w:rsid w:val="00311819"/>
    <w:rsid w:val="00314C32"/>
    <w:rsid w:val="003202F0"/>
    <w:rsid w:val="0032278B"/>
    <w:rsid w:val="003228A2"/>
    <w:rsid w:val="0032568A"/>
    <w:rsid w:val="00325E91"/>
    <w:rsid w:val="0032645B"/>
    <w:rsid w:val="00326506"/>
    <w:rsid w:val="003360A9"/>
    <w:rsid w:val="00340ECC"/>
    <w:rsid w:val="00342ACB"/>
    <w:rsid w:val="0036241C"/>
    <w:rsid w:val="00370C70"/>
    <w:rsid w:val="00373023"/>
    <w:rsid w:val="00375C0D"/>
    <w:rsid w:val="00377D7F"/>
    <w:rsid w:val="0038071C"/>
    <w:rsid w:val="00386FC7"/>
    <w:rsid w:val="00387C3A"/>
    <w:rsid w:val="0039250B"/>
    <w:rsid w:val="003935F6"/>
    <w:rsid w:val="00394DBF"/>
    <w:rsid w:val="00396BB9"/>
    <w:rsid w:val="00397C04"/>
    <w:rsid w:val="003A48B0"/>
    <w:rsid w:val="003B05AC"/>
    <w:rsid w:val="003B2552"/>
    <w:rsid w:val="003B5365"/>
    <w:rsid w:val="003B7B6B"/>
    <w:rsid w:val="003C5959"/>
    <w:rsid w:val="003D25CE"/>
    <w:rsid w:val="003D6C0A"/>
    <w:rsid w:val="003E27F1"/>
    <w:rsid w:val="003E5296"/>
    <w:rsid w:val="003E5F9F"/>
    <w:rsid w:val="003F3674"/>
    <w:rsid w:val="003F4A2B"/>
    <w:rsid w:val="00405C6E"/>
    <w:rsid w:val="004063FB"/>
    <w:rsid w:val="0041085A"/>
    <w:rsid w:val="00412EA7"/>
    <w:rsid w:val="004151AF"/>
    <w:rsid w:val="00421A19"/>
    <w:rsid w:val="0042377D"/>
    <w:rsid w:val="00425D9D"/>
    <w:rsid w:val="004262E6"/>
    <w:rsid w:val="004274B4"/>
    <w:rsid w:val="0043195D"/>
    <w:rsid w:val="00432208"/>
    <w:rsid w:val="00432C63"/>
    <w:rsid w:val="00435806"/>
    <w:rsid w:val="004358E6"/>
    <w:rsid w:val="0043684B"/>
    <w:rsid w:val="00436A5F"/>
    <w:rsid w:val="004451D5"/>
    <w:rsid w:val="004537B7"/>
    <w:rsid w:val="0045396B"/>
    <w:rsid w:val="00455BEF"/>
    <w:rsid w:val="00462347"/>
    <w:rsid w:val="00463014"/>
    <w:rsid w:val="004672DF"/>
    <w:rsid w:val="00476551"/>
    <w:rsid w:val="00476782"/>
    <w:rsid w:val="004768E5"/>
    <w:rsid w:val="00482BBE"/>
    <w:rsid w:val="00483D84"/>
    <w:rsid w:val="00483DF0"/>
    <w:rsid w:val="00484936"/>
    <w:rsid w:val="00484DB1"/>
    <w:rsid w:val="00486490"/>
    <w:rsid w:val="0049030E"/>
    <w:rsid w:val="00491D96"/>
    <w:rsid w:val="00493BD7"/>
    <w:rsid w:val="00494106"/>
    <w:rsid w:val="00494161"/>
    <w:rsid w:val="004A7845"/>
    <w:rsid w:val="004B5089"/>
    <w:rsid w:val="004B7112"/>
    <w:rsid w:val="004C3A98"/>
    <w:rsid w:val="004C4766"/>
    <w:rsid w:val="004C5A9C"/>
    <w:rsid w:val="004D4AC9"/>
    <w:rsid w:val="004E0BB5"/>
    <w:rsid w:val="004E443A"/>
    <w:rsid w:val="004E74FE"/>
    <w:rsid w:val="004E7E42"/>
    <w:rsid w:val="004F119B"/>
    <w:rsid w:val="004F65F6"/>
    <w:rsid w:val="004F7868"/>
    <w:rsid w:val="005001EB"/>
    <w:rsid w:val="005018C9"/>
    <w:rsid w:val="00502364"/>
    <w:rsid w:val="00502632"/>
    <w:rsid w:val="00502820"/>
    <w:rsid w:val="00504A79"/>
    <w:rsid w:val="00512860"/>
    <w:rsid w:val="00512DB7"/>
    <w:rsid w:val="00516BAC"/>
    <w:rsid w:val="00517B4E"/>
    <w:rsid w:val="00520DA0"/>
    <w:rsid w:val="00522B52"/>
    <w:rsid w:val="00527D4B"/>
    <w:rsid w:val="005370F7"/>
    <w:rsid w:val="00541373"/>
    <w:rsid w:val="0054544E"/>
    <w:rsid w:val="0054750D"/>
    <w:rsid w:val="00547E74"/>
    <w:rsid w:val="00553CB6"/>
    <w:rsid w:val="00557DCB"/>
    <w:rsid w:val="00560B53"/>
    <w:rsid w:val="00561D30"/>
    <w:rsid w:val="00563E81"/>
    <w:rsid w:val="0056780A"/>
    <w:rsid w:val="00571C0F"/>
    <w:rsid w:val="005808A5"/>
    <w:rsid w:val="00580A50"/>
    <w:rsid w:val="0058490B"/>
    <w:rsid w:val="00591075"/>
    <w:rsid w:val="00592D5C"/>
    <w:rsid w:val="005940B9"/>
    <w:rsid w:val="00596442"/>
    <w:rsid w:val="0059790D"/>
    <w:rsid w:val="005A5280"/>
    <w:rsid w:val="005A60AB"/>
    <w:rsid w:val="005A7411"/>
    <w:rsid w:val="005B4A25"/>
    <w:rsid w:val="005B5CBE"/>
    <w:rsid w:val="005C6BEE"/>
    <w:rsid w:val="005D254E"/>
    <w:rsid w:val="005D332C"/>
    <w:rsid w:val="005D3730"/>
    <w:rsid w:val="005E51FE"/>
    <w:rsid w:val="005E707F"/>
    <w:rsid w:val="005F3F8D"/>
    <w:rsid w:val="005F4E09"/>
    <w:rsid w:val="005F69E3"/>
    <w:rsid w:val="005F7169"/>
    <w:rsid w:val="00601051"/>
    <w:rsid w:val="00605395"/>
    <w:rsid w:val="0060547B"/>
    <w:rsid w:val="00605ADF"/>
    <w:rsid w:val="006112A5"/>
    <w:rsid w:val="006137F0"/>
    <w:rsid w:val="00621A98"/>
    <w:rsid w:val="00622B58"/>
    <w:rsid w:val="00625844"/>
    <w:rsid w:val="00625A0F"/>
    <w:rsid w:val="0062649D"/>
    <w:rsid w:val="00631DD6"/>
    <w:rsid w:val="00634B58"/>
    <w:rsid w:val="00640812"/>
    <w:rsid w:val="00657A0A"/>
    <w:rsid w:val="00665CD1"/>
    <w:rsid w:val="00667474"/>
    <w:rsid w:val="00676418"/>
    <w:rsid w:val="006800FA"/>
    <w:rsid w:val="006812C9"/>
    <w:rsid w:val="00690D9E"/>
    <w:rsid w:val="006917AD"/>
    <w:rsid w:val="0069291B"/>
    <w:rsid w:val="006A092A"/>
    <w:rsid w:val="006A2B97"/>
    <w:rsid w:val="006A5D2B"/>
    <w:rsid w:val="006B0730"/>
    <w:rsid w:val="006B09E8"/>
    <w:rsid w:val="006B109C"/>
    <w:rsid w:val="006B16AF"/>
    <w:rsid w:val="006B6006"/>
    <w:rsid w:val="006B7890"/>
    <w:rsid w:val="006C07FC"/>
    <w:rsid w:val="006C14B8"/>
    <w:rsid w:val="006C220A"/>
    <w:rsid w:val="006C4166"/>
    <w:rsid w:val="006C460B"/>
    <w:rsid w:val="006C47F6"/>
    <w:rsid w:val="006C5F27"/>
    <w:rsid w:val="006C5FB6"/>
    <w:rsid w:val="006D65BB"/>
    <w:rsid w:val="006D7901"/>
    <w:rsid w:val="006E3687"/>
    <w:rsid w:val="006E46BA"/>
    <w:rsid w:val="006E566D"/>
    <w:rsid w:val="006F08B0"/>
    <w:rsid w:val="006F3D82"/>
    <w:rsid w:val="006F459E"/>
    <w:rsid w:val="006F4649"/>
    <w:rsid w:val="006F60BA"/>
    <w:rsid w:val="006F7B3A"/>
    <w:rsid w:val="00700489"/>
    <w:rsid w:val="007017AC"/>
    <w:rsid w:val="007020E6"/>
    <w:rsid w:val="00703E6A"/>
    <w:rsid w:val="0071540B"/>
    <w:rsid w:val="0072544C"/>
    <w:rsid w:val="007265E9"/>
    <w:rsid w:val="00737B77"/>
    <w:rsid w:val="0074288C"/>
    <w:rsid w:val="00743BE6"/>
    <w:rsid w:val="00744333"/>
    <w:rsid w:val="00745B29"/>
    <w:rsid w:val="007477E0"/>
    <w:rsid w:val="00754052"/>
    <w:rsid w:val="0075492C"/>
    <w:rsid w:val="0076096E"/>
    <w:rsid w:val="007611D3"/>
    <w:rsid w:val="00762ADE"/>
    <w:rsid w:val="00766717"/>
    <w:rsid w:val="007838E3"/>
    <w:rsid w:val="00784F85"/>
    <w:rsid w:val="00785A0F"/>
    <w:rsid w:val="00791A46"/>
    <w:rsid w:val="007A0143"/>
    <w:rsid w:val="007A3444"/>
    <w:rsid w:val="007A399D"/>
    <w:rsid w:val="007B1945"/>
    <w:rsid w:val="007B6A4C"/>
    <w:rsid w:val="007B6DD3"/>
    <w:rsid w:val="007C12D7"/>
    <w:rsid w:val="007C212A"/>
    <w:rsid w:val="007D27AB"/>
    <w:rsid w:val="007D456E"/>
    <w:rsid w:val="007D4604"/>
    <w:rsid w:val="007D7EF8"/>
    <w:rsid w:val="007E195E"/>
    <w:rsid w:val="007E5260"/>
    <w:rsid w:val="007E6493"/>
    <w:rsid w:val="007E64E2"/>
    <w:rsid w:val="007E7E6E"/>
    <w:rsid w:val="007F020B"/>
    <w:rsid w:val="007F0918"/>
    <w:rsid w:val="007F2BBB"/>
    <w:rsid w:val="007F6A52"/>
    <w:rsid w:val="008012D8"/>
    <w:rsid w:val="0080184D"/>
    <w:rsid w:val="00801BEC"/>
    <w:rsid w:val="00801EA7"/>
    <w:rsid w:val="008020C6"/>
    <w:rsid w:val="00802615"/>
    <w:rsid w:val="00803384"/>
    <w:rsid w:val="0080627D"/>
    <w:rsid w:val="008119C9"/>
    <w:rsid w:val="00812870"/>
    <w:rsid w:val="00812DC0"/>
    <w:rsid w:val="00813D89"/>
    <w:rsid w:val="00816897"/>
    <w:rsid w:val="0081708D"/>
    <w:rsid w:val="008171E9"/>
    <w:rsid w:val="008211BA"/>
    <w:rsid w:val="00822E99"/>
    <w:rsid w:val="00822F88"/>
    <w:rsid w:val="00824FE0"/>
    <w:rsid w:val="00826797"/>
    <w:rsid w:val="00830669"/>
    <w:rsid w:val="008310A9"/>
    <w:rsid w:val="00831200"/>
    <w:rsid w:val="00831C58"/>
    <w:rsid w:val="008321D7"/>
    <w:rsid w:val="00832981"/>
    <w:rsid w:val="00836115"/>
    <w:rsid w:val="0084409C"/>
    <w:rsid w:val="00844453"/>
    <w:rsid w:val="00845B10"/>
    <w:rsid w:val="00853312"/>
    <w:rsid w:val="00857D75"/>
    <w:rsid w:val="00857E8A"/>
    <w:rsid w:val="008627D5"/>
    <w:rsid w:val="00862EAC"/>
    <w:rsid w:val="00865CD4"/>
    <w:rsid w:val="008711E7"/>
    <w:rsid w:val="0087300A"/>
    <w:rsid w:val="00876DED"/>
    <w:rsid w:val="008778FF"/>
    <w:rsid w:val="00880AD3"/>
    <w:rsid w:val="0088526F"/>
    <w:rsid w:val="00887579"/>
    <w:rsid w:val="00892D09"/>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2AF8"/>
    <w:rsid w:val="008E33A6"/>
    <w:rsid w:val="008E3821"/>
    <w:rsid w:val="008E3CE3"/>
    <w:rsid w:val="008E5059"/>
    <w:rsid w:val="008E559E"/>
    <w:rsid w:val="008E76FC"/>
    <w:rsid w:val="008E77BC"/>
    <w:rsid w:val="008F7264"/>
    <w:rsid w:val="009042C3"/>
    <w:rsid w:val="009115FA"/>
    <w:rsid w:val="009153C2"/>
    <w:rsid w:val="00916059"/>
    <w:rsid w:val="0092060B"/>
    <w:rsid w:val="00922AF8"/>
    <w:rsid w:val="00922F64"/>
    <w:rsid w:val="009242E8"/>
    <w:rsid w:val="009264F1"/>
    <w:rsid w:val="0093091D"/>
    <w:rsid w:val="00931016"/>
    <w:rsid w:val="009345DD"/>
    <w:rsid w:val="00935F2A"/>
    <w:rsid w:val="009367F8"/>
    <w:rsid w:val="00940BCB"/>
    <w:rsid w:val="00941F5C"/>
    <w:rsid w:val="009444B9"/>
    <w:rsid w:val="00944C9C"/>
    <w:rsid w:val="00946130"/>
    <w:rsid w:val="00947030"/>
    <w:rsid w:val="009603E0"/>
    <w:rsid w:val="00972A5A"/>
    <w:rsid w:val="0099192E"/>
    <w:rsid w:val="00992608"/>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4274"/>
    <w:rsid w:val="009D47F8"/>
    <w:rsid w:val="009D4D7C"/>
    <w:rsid w:val="009E0574"/>
    <w:rsid w:val="009E0809"/>
    <w:rsid w:val="009E39B7"/>
    <w:rsid w:val="009E59AD"/>
    <w:rsid w:val="009E6326"/>
    <w:rsid w:val="009F5AAD"/>
    <w:rsid w:val="009F5C15"/>
    <w:rsid w:val="009F6336"/>
    <w:rsid w:val="009F7511"/>
    <w:rsid w:val="00A018CF"/>
    <w:rsid w:val="00A03FD8"/>
    <w:rsid w:val="00A0540A"/>
    <w:rsid w:val="00A05AAB"/>
    <w:rsid w:val="00A07553"/>
    <w:rsid w:val="00A13827"/>
    <w:rsid w:val="00A16487"/>
    <w:rsid w:val="00A2173E"/>
    <w:rsid w:val="00A26F1A"/>
    <w:rsid w:val="00A34449"/>
    <w:rsid w:val="00A4318A"/>
    <w:rsid w:val="00A464DD"/>
    <w:rsid w:val="00A47E19"/>
    <w:rsid w:val="00A50BBC"/>
    <w:rsid w:val="00A51231"/>
    <w:rsid w:val="00A518AF"/>
    <w:rsid w:val="00A6340C"/>
    <w:rsid w:val="00A63F32"/>
    <w:rsid w:val="00A65606"/>
    <w:rsid w:val="00A67067"/>
    <w:rsid w:val="00A67F69"/>
    <w:rsid w:val="00A80E05"/>
    <w:rsid w:val="00A8163B"/>
    <w:rsid w:val="00A82DFA"/>
    <w:rsid w:val="00A8425D"/>
    <w:rsid w:val="00A86200"/>
    <w:rsid w:val="00A924A9"/>
    <w:rsid w:val="00A938C6"/>
    <w:rsid w:val="00A97474"/>
    <w:rsid w:val="00A979AA"/>
    <w:rsid w:val="00AA0FC7"/>
    <w:rsid w:val="00AA504D"/>
    <w:rsid w:val="00AA5B35"/>
    <w:rsid w:val="00AB1B88"/>
    <w:rsid w:val="00AC114F"/>
    <w:rsid w:val="00AC18C2"/>
    <w:rsid w:val="00AC5C8A"/>
    <w:rsid w:val="00AD31AB"/>
    <w:rsid w:val="00AE2B77"/>
    <w:rsid w:val="00AE719D"/>
    <w:rsid w:val="00AF6677"/>
    <w:rsid w:val="00B024F5"/>
    <w:rsid w:val="00B03207"/>
    <w:rsid w:val="00B11B10"/>
    <w:rsid w:val="00B20F46"/>
    <w:rsid w:val="00B258FC"/>
    <w:rsid w:val="00B2621E"/>
    <w:rsid w:val="00B30A72"/>
    <w:rsid w:val="00B4033B"/>
    <w:rsid w:val="00B4669E"/>
    <w:rsid w:val="00B468AA"/>
    <w:rsid w:val="00B51F91"/>
    <w:rsid w:val="00B5438D"/>
    <w:rsid w:val="00B55D86"/>
    <w:rsid w:val="00B569EE"/>
    <w:rsid w:val="00B5757F"/>
    <w:rsid w:val="00B60580"/>
    <w:rsid w:val="00B6496E"/>
    <w:rsid w:val="00B65F38"/>
    <w:rsid w:val="00B66081"/>
    <w:rsid w:val="00B67156"/>
    <w:rsid w:val="00B77110"/>
    <w:rsid w:val="00B817FF"/>
    <w:rsid w:val="00B824DF"/>
    <w:rsid w:val="00B910BF"/>
    <w:rsid w:val="00B92731"/>
    <w:rsid w:val="00B934AA"/>
    <w:rsid w:val="00BA1462"/>
    <w:rsid w:val="00BA2DE0"/>
    <w:rsid w:val="00BA4C8A"/>
    <w:rsid w:val="00BA6118"/>
    <w:rsid w:val="00BA64F3"/>
    <w:rsid w:val="00BC4362"/>
    <w:rsid w:val="00BC467E"/>
    <w:rsid w:val="00BE53E0"/>
    <w:rsid w:val="00BE7AB5"/>
    <w:rsid w:val="00BF30B1"/>
    <w:rsid w:val="00BF3BD6"/>
    <w:rsid w:val="00C00817"/>
    <w:rsid w:val="00C04144"/>
    <w:rsid w:val="00C10AD1"/>
    <w:rsid w:val="00C12965"/>
    <w:rsid w:val="00C13463"/>
    <w:rsid w:val="00C1576D"/>
    <w:rsid w:val="00C15983"/>
    <w:rsid w:val="00C15C0E"/>
    <w:rsid w:val="00C15FB7"/>
    <w:rsid w:val="00C23751"/>
    <w:rsid w:val="00C25DF3"/>
    <w:rsid w:val="00C31C2E"/>
    <w:rsid w:val="00C32372"/>
    <w:rsid w:val="00C32AD4"/>
    <w:rsid w:val="00C35130"/>
    <w:rsid w:val="00C37965"/>
    <w:rsid w:val="00C40E8E"/>
    <w:rsid w:val="00C41E28"/>
    <w:rsid w:val="00C46DA5"/>
    <w:rsid w:val="00C47101"/>
    <w:rsid w:val="00C47D35"/>
    <w:rsid w:val="00C543E7"/>
    <w:rsid w:val="00C54A4F"/>
    <w:rsid w:val="00C6265D"/>
    <w:rsid w:val="00C63922"/>
    <w:rsid w:val="00C65BD1"/>
    <w:rsid w:val="00C76641"/>
    <w:rsid w:val="00C76A83"/>
    <w:rsid w:val="00C77D93"/>
    <w:rsid w:val="00C77E3C"/>
    <w:rsid w:val="00C80979"/>
    <w:rsid w:val="00C85838"/>
    <w:rsid w:val="00C92937"/>
    <w:rsid w:val="00CA224E"/>
    <w:rsid w:val="00CA3E02"/>
    <w:rsid w:val="00CA55ED"/>
    <w:rsid w:val="00CB2FC3"/>
    <w:rsid w:val="00CB5869"/>
    <w:rsid w:val="00CB79EB"/>
    <w:rsid w:val="00CC0873"/>
    <w:rsid w:val="00CC1DF7"/>
    <w:rsid w:val="00CC23FC"/>
    <w:rsid w:val="00CC34BC"/>
    <w:rsid w:val="00CC46FC"/>
    <w:rsid w:val="00CC4C5C"/>
    <w:rsid w:val="00CC72A2"/>
    <w:rsid w:val="00CD26EC"/>
    <w:rsid w:val="00CD70CE"/>
    <w:rsid w:val="00CE2293"/>
    <w:rsid w:val="00CE3104"/>
    <w:rsid w:val="00CE360D"/>
    <w:rsid w:val="00CE3977"/>
    <w:rsid w:val="00CE69D6"/>
    <w:rsid w:val="00CF01F7"/>
    <w:rsid w:val="00CF0850"/>
    <w:rsid w:val="00CF2925"/>
    <w:rsid w:val="00D02448"/>
    <w:rsid w:val="00D03FAF"/>
    <w:rsid w:val="00D062E2"/>
    <w:rsid w:val="00D07907"/>
    <w:rsid w:val="00D07BB8"/>
    <w:rsid w:val="00D10F03"/>
    <w:rsid w:val="00D129C0"/>
    <w:rsid w:val="00D17CEC"/>
    <w:rsid w:val="00D22056"/>
    <w:rsid w:val="00D23647"/>
    <w:rsid w:val="00D25BE7"/>
    <w:rsid w:val="00D3007A"/>
    <w:rsid w:val="00D32713"/>
    <w:rsid w:val="00D3522C"/>
    <w:rsid w:val="00D36A3E"/>
    <w:rsid w:val="00D44C72"/>
    <w:rsid w:val="00D46509"/>
    <w:rsid w:val="00D46C60"/>
    <w:rsid w:val="00D500A5"/>
    <w:rsid w:val="00D52295"/>
    <w:rsid w:val="00D53C41"/>
    <w:rsid w:val="00D57B8C"/>
    <w:rsid w:val="00D61EFB"/>
    <w:rsid w:val="00D67870"/>
    <w:rsid w:val="00D830BC"/>
    <w:rsid w:val="00D83632"/>
    <w:rsid w:val="00D840B9"/>
    <w:rsid w:val="00D849DE"/>
    <w:rsid w:val="00D85388"/>
    <w:rsid w:val="00D90081"/>
    <w:rsid w:val="00D9403C"/>
    <w:rsid w:val="00D97422"/>
    <w:rsid w:val="00DA2FE9"/>
    <w:rsid w:val="00DA37FA"/>
    <w:rsid w:val="00DB38DE"/>
    <w:rsid w:val="00DB4F2D"/>
    <w:rsid w:val="00DB72CF"/>
    <w:rsid w:val="00DC09AC"/>
    <w:rsid w:val="00DC12ED"/>
    <w:rsid w:val="00DC47EF"/>
    <w:rsid w:val="00DC5E20"/>
    <w:rsid w:val="00DD00D5"/>
    <w:rsid w:val="00DD70EA"/>
    <w:rsid w:val="00DD7E7F"/>
    <w:rsid w:val="00DE0418"/>
    <w:rsid w:val="00E00802"/>
    <w:rsid w:val="00E05F1A"/>
    <w:rsid w:val="00E07623"/>
    <w:rsid w:val="00E07BAB"/>
    <w:rsid w:val="00E10C08"/>
    <w:rsid w:val="00E116EC"/>
    <w:rsid w:val="00E1322A"/>
    <w:rsid w:val="00E145FC"/>
    <w:rsid w:val="00E14933"/>
    <w:rsid w:val="00E15C55"/>
    <w:rsid w:val="00E1603E"/>
    <w:rsid w:val="00E16289"/>
    <w:rsid w:val="00E162C5"/>
    <w:rsid w:val="00E21534"/>
    <w:rsid w:val="00E24908"/>
    <w:rsid w:val="00E326B6"/>
    <w:rsid w:val="00E33EB1"/>
    <w:rsid w:val="00E347A1"/>
    <w:rsid w:val="00E365B2"/>
    <w:rsid w:val="00E37BE0"/>
    <w:rsid w:val="00E42992"/>
    <w:rsid w:val="00E4723D"/>
    <w:rsid w:val="00E505A1"/>
    <w:rsid w:val="00E55F79"/>
    <w:rsid w:val="00E608D7"/>
    <w:rsid w:val="00E64642"/>
    <w:rsid w:val="00E7007D"/>
    <w:rsid w:val="00E70ABD"/>
    <w:rsid w:val="00E71134"/>
    <w:rsid w:val="00E71875"/>
    <w:rsid w:val="00E73277"/>
    <w:rsid w:val="00E74818"/>
    <w:rsid w:val="00E80B34"/>
    <w:rsid w:val="00E8107C"/>
    <w:rsid w:val="00E81ABA"/>
    <w:rsid w:val="00E81B13"/>
    <w:rsid w:val="00E8373C"/>
    <w:rsid w:val="00E8397A"/>
    <w:rsid w:val="00E84409"/>
    <w:rsid w:val="00E93FFA"/>
    <w:rsid w:val="00E94521"/>
    <w:rsid w:val="00E94CD1"/>
    <w:rsid w:val="00E9521A"/>
    <w:rsid w:val="00E95A3C"/>
    <w:rsid w:val="00E967A4"/>
    <w:rsid w:val="00EA1BC4"/>
    <w:rsid w:val="00EB2272"/>
    <w:rsid w:val="00EB2B81"/>
    <w:rsid w:val="00EB2BD4"/>
    <w:rsid w:val="00EB6DE5"/>
    <w:rsid w:val="00ED5BCF"/>
    <w:rsid w:val="00EE1611"/>
    <w:rsid w:val="00EE491F"/>
    <w:rsid w:val="00EF2004"/>
    <w:rsid w:val="00EF5133"/>
    <w:rsid w:val="00EF7091"/>
    <w:rsid w:val="00F16016"/>
    <w:rsid w:val="00F22D92"/>
    <w:rsid w:val="00F23A4E"/>
    <w:rsid w:val="00F23E2C"/>
    <w:rsid w:val="00F26FC3"/>
    <w:rsid w:val="00F30F74"/>
    <w:rsid w:val="00F3326F"/>
    <w:rsid w:val="00F33C66"/>
    <w:rsid w:val="00F34228"/>
    <w:rsid w:val="00F404F5"/>
    <w:rsid w:val="00F4088C"/>
    <w:rsid w:val="00F46DCB"/>
    <w:rsid w:val="00F53075"/>
    <w:rsid w:val="00F55009"/>
    <w:rsid w:val="00F609C3"/>
    <w:rsid w:val="00F6165F"/>
    <w:rsid w:val="00F67274"/>
    <w:rsid w:val="00F67477"/>
    <w:rsid w:val="00F71548"/>
    <w:rsid w:val="00F73177"/>
    <w:rsid w:val="00F7321B"/>
    <w:rsid w:val="00F73BC4"/>
    <w:rsid w:val="00F808BA"/>
    <w:rsid w:val="00F81AC6"/>
    <w:rsid w:val="00F8637E"/>
    <w:rsid w:val="00F87146"/>
    <w:rsid w:val="00F946DD"/>
    <w:rsid w:val="00F955DA"/>
    <w:rsid w:val="00FB2673"/>
    <w:rsid w:val="00FB4162"/>
    <w:rsid w:val="00FB7390"/>
    <w:rsid w:val="00FB7F38"/>
    <w:rsid w:val="00FC011B"/>
    <w:rsid w:val="00FC144C"/>
    <w:rsid w:val="00FD03BF"/>
    <w:rsid w:val="00FD3F05"/>
    <w:rsid w:val="00FD536B"/>
    <w:rsid w:val="00FD77F5"/>
    <w:rsid w:val="00FE1329"/>
    <w:rsid w:val="00FE21C3"/>
    <w:rsid w:val="00FE484F"/>
    <w:rsid w:val="00FE7C41"/>
    <w:rsid w:val="00FF1DCA"/>
    <w:rsid w:val="00FF5F31"/>
    <w:rsid w:val="00FF6FDF"/>
    <w:rsid w:val="04230AAD"/>
    <w:rsid w:val="08EA43A8"/>
    <w:rsid w:val="158F60C3"/>
    <w:rsid w:val="1F9020BC"/>
    <w:rsid w:val="30D04808"/>
    <w:rsid w:val="37CD4255"/>
    <w:rsid w:val="52006417"/>
    <w:rsid w:val="634520A2"/>
    <w:rsid w:val="766F553D"/>
    <w:rsid w:val="7698261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spacing w:after="0" w:line="240" w:lineRule="auto"/>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Revision"/>
    <w:hidden/>
    <w:semiHidden/>
    <w:qFormat/>
    <w:uiPriority w:val="99"/>
    <w:pPr>
      <w:spacing w:after="0" w:line="240" w:lineRule="auto"/>
    </w:pPr>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ind w:left="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paragraph" w:customStyle="1" w:styleId="37">
    <w:name w:val="Приложение к контракту"/>
    <w:basedOn w:val="1"/>
    <w:next w:val="1"/>
    <w:qFormat/>
    <w:uiPriority w:val="0"/>
    <w:pPr>
      <w:numPr>
        <w:ilvl w:val="0"/>
        <w:numId w:val="2"/>
      </w:numPr>
      <w:contextualSpacing/>
      <w:jc w:val="left"/>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24474-56BB-4940-BFBD-260771D6629D}">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540</Words>
  <Characters>5951</Characters>
  <Lines>107</Lines>
  <Paragraphs>30</Paragraphs>
  <TotalTime>37</TotalTime>
  <ScaleCrop>false</ScaleCrop>
  <LinksUpToDate>false</LinksUpToDate>
  <CharactersWithSpaces>6351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2026-02-20T08:06:00Z</dcterms:created>
  <dc:creator>slnk slnk</dc:creator>
  <cp:lastModifiedBy>KudinkinaDV</cp:lastModifiedBy>
  <cp:lastPrinted>2026-09-01T06:48:00Z</cp:lastPrinted>
  <dcterms:modified xsi:type="dcterms:W3CDTF">2026-09-03T15:57:20Z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eyJoZGlkIjoiNTRlODAzNzRjNmY3MDU0YjcwZmM0MDZmOTExMjY5YTAiLCJ1c2VySWQiOiI4NDIzODMyMjg1MDAifQ==</vt:lpwstr>
  </property>
  <property fmtid="{D5CDD505-2E9C-101B-9397-08002B2CF9AE}" pid="3" name="KSOProductBuildVer">
    <vt:lpwstr>1049-12.1.0.28032</vt:lpwstr>
  </property>
  <property fmtid="{D5CDD505-2E9C-101B-9397-08002B2CF9AE}" pid="4" name="ICV">
    <vt:lpwstr>6218052847AC4C8E9BF32770D86093B4_12</vt:lpwstr>
  </property>
</Properties>
</file>