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запасных частей к специальной технике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Заказчик, в течение 1 (одного) рабочего дня со дня предоставления Поставщиком информации об ответственном представителе,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фамилию, имя, отчество (при наличии), адреса электронной почты и номера телефонов ответственных представителей.</w:t>
              <w:br/>
              <w:t xml:space="preserve">3. Об изменении сведений об ответственном(ых) представителе(ях), Поставщик обязан уведомить Заказчика в день возникновения таких изменений посредством направления на адрес электронной почты ответственного представителя Заказчика уведомления (электронного сообщения), содержащего актуальные сведения, указанные в абзаце втором пункта 1 настоящего Раздела.</w:t>
              <w:br/>
              <w:t xml:space="preserve">4. Порядок направления документов и решений, формируемых, принимаемых и реализуемых в ходе исполнения Контракта:</w:t>
              <w:br/>
              <w:t xml:space="preserve">1) если иное не определено требованиями действующего законодательства, Контрактом, направление уведомлений, требований в рамках исполнения Контракта, направление документов и решений, формируемых, принимаемых и реализуемых в ходе исполнения Контракта, включая документы и решения, подлежащие проверке Заказчиком на соответствие Требованиям установленным в настоящем Техническом задании (далее - проверка), осуществляются Поставщиком и Заказчиком посредством обмена электронными сообщениями, документами, направляемыми на адреса электронной почты, указанной в разделе «Адреса, реквизиты и подписи Сторон» Контракта; </w:t>
              <w:br/>
              <w:t xml:space="preserve">2) электронные сообщения при направлении подлежат соблюдению требований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действующего законодательства, Технического задания, проверка осуществляется Заказчиком в течение 5 (пяти) рабочих дней со дня поступления обращений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согласует с Заказчиком дату, время и место такой передачи;</w:t>
              <w:br/>
              <w:t xml:space="preserve">5) отсутствие подтверждения о соответствии требованиям настоящего Технического задания  (далее - Требования)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сведений, соответствующим Требованиям;</w:t>
              <w:br/>
              <w:t xml:space="preserve">6) отказ в соответствии Требованиям должен содержать указание на причины такого отказа и сроки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  <w:br/>
              <w:t xml:space="preserve">- 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 (или) упущения поставщика, при соблюдении заказчиком правил эксплуатации поставляемого товара;</w:t>
              <w:br/>
              <w:t xml:space="preserve">- соответствовать требованиям действующих государственных,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в соответствии с требованиями государственных и международных стандартов, а также актам, указанным в IX Разделе настоящего Технического задания;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соответствия).</w:t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  <w:br/>
              <w:t xml:space="preserve">4.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транспортирования, погрузо-разгрузочных работах 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содержать: наименование изделия, место нахождения и адрес изготовителя, дату выпуска и гарантийный срок службы. Маркировка упаковки должна строго соответствовать маркировке товара и быть читаемой,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Постановление Правительства РФ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 № 2425 от 23.12.2021.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Решении Комиссии Таможенного союза «О безопасности машин и оборудования» ТР ТС 010/2011 от 18.10.2011.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колесных транспортных средств» ТР ТС 018/2011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