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товаров для организации режима дня воспитанников в ДОУ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Поставщик и Заказчик определяют сотрудников, ответственных за взаимодействие при исполнении Контракта (далее – ответственные представители). Поставщик обязан в срок, указанный в приложении «Перечень документов, которыми обмениваются стороны при исполнении контракта» к Контракту, предоставить Заказчику посредством Портала исполнения контрактов Единой автоматизированной системы управления закупками Московской области (далее - ПИК ЕАСУЗ) информацию об ответственном(ых) представителе(ях) с указанием предоставляемых им полномочий.</w:t>
              <w:br/>
              <w:t xml:space="preserve">2. Заказчик в течение 1 (одного) рабочего дня со дня предоставления Поставщиком информации об ответственном представителе направляет в адрес Поставщика посредством ПИК ЕАСУЗ сведения об ответственном(ых) представителе(ях) Заказчика в составе следующих сведений: должность, фамилия, имя, отчество (при наличии), адрес электронной почты и номер телефона ответственного представителя.</w:t>
              <w:br/>
              <w:t xml:space="preserve">3. В случае замены ответственного(ых) представителя(ей) (в том числе временной) уведомление о замене с приложением актуальных сведений об ответственном(ых) представителе(ях) предоставляется в день такой замены посредством электронной почты, указанной в разделе «Адреса, реквизиты и подписи Сторон» Контракта, если Контрактом или обязательным функционалом ПИК ЕАСУЗ не установлен иной способ направления такого уведомления.</w:t>
              <w:br/>
              <w:t xml:space="preserve">4. Порядок согласования документов, решений и действий, формируемых, принимаемых и реализуемых в ходе исполнения Контракта: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уведомления, требования, документы и решения, включая документы и решения, подлежащие проверке Заказчиком на соответствие требованиям настоящего Технического задания (далее - проверка),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электронных сообщений соблюдаются требования настоящего Технического задания к формату представления данных (сведений, документов), если такие требования установлены;</w:t>
              <w:br/>
              <w:t xml:space="preserve">3) если иное не определено условиями Контракта, требованиями законодательства Российской Федерации или настоящего Технического задания, проверка осуществляется Заказчиком в течение 5 (пяти) рабочих дней со дня поступления обращения о проверке;</w:t>
              <w:br/>
              <w:t xml:space="preserve">4) при необходимости передачи сведений и документов, в том числе в целях их проверки, на бумажном носителе и (или) съемном электронном носителе информации Поставщик уточняет у Заказчика дату, время и место такой передачи;</w:t>
              <w:br/>
              <w:t xml:space="preserve">5) отсутствие сведений о результатах проверки, осуществленной Заказчиком в установленные Техническим заданием или Контрактом сроки, не является основанием для признания представленных документов, решений и сведений отвечающими требованиям, установленным настоящим Техническим заданием;</w:t>
              <w:br/>
              <w:t xml:space="preserve">6) уведомление по результатам проверки о несоответствии представленных документов, решений и сведений должно содержать указание на причины несоответствия и срок их устранения.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эксплуатации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согласовываются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3 раб дн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сборка Товара осуществляется без ущерба его функциональным, техническим и качественным характеристикам, без порчи товарного вида в помещениях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-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требований пропускного и внутриобъектового режимов (при их наличии), правил охраны труда и пожарной безопасности, а также внутренних правил и инструкций Заказчика, применимых к оказанию соответствующих услуг и доведенных до Поставщика до начала их оказания.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При наличии у Заказчика пропускного и (или) внутриобъектового режима, предусматривающего предварительное представление сведений о лицах, привлекаемых к оказанию сопутствующих услуг, Поставщик направляет Заказчику сведения, необходимые для оформления допуска (пропуска), в составе и объеме, установленных доведенными до Поставщика правилами Заказчика, в срок не позднее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3 раб дн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до даты начала оказания сопутствующих услуг в порядке, определенном Разделом II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 отношении Товаров, к которым применяются запреты, ограничения и (или) преимущества, предусмотренные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указываются характеристики товара российского происхождения, за исключением случаев, установленных Правительством Российской Федерации (часть 1.1 статьи 33 Федерального закона от 05.04.2013 № 44-ФЗ в редакции, действующей с 01.10.2026).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bl>
            <w:tblPr>
              <w:tblBorders>
                <w:top w:val="single" w:sz="4"/>
                <w:left w:val="single" w:sz="4"/>
                <w:bottom w:val="single" w:sz="4"/>
                <w:right w:val="single" w:sz="4"/>
                <w:insideH w:val="single" w:sz="4"/>
                <w:insideV w:val="single" w:sz="4"/>
              </w:tblBorders>
              <w:tblW w:w="13173" w:type="dxa"/>
              <w:tblLayout w:type="fixed"/>
              <w:tblInd w:w="0" w:type="dxa"/>
            </w:tblPr>
            <w:tblGrid>
              <w:gridCol w:w="1000"/>
              <w:gridCol w:w="3043"/>
              <w:gridCol w:w="3043"/>
              <w:gridCol w:w="3043"/>
              <w:gridCol w:w="3043"/>
            </w:tblGrid>
            <w:tr>
              <w:tc>
                <w:p/>
              </w:tc>
              <w:tc>
                <w:p>
                  <w:pPr/>
                  <w:r>
                    <w:rPr>
                      <w:rFonts w:ascii="Times New Roman" w:hAnsi="Times New Roman" w:eastAsia="Times New Roman" w:cs="Times New Roman"/>
                      <w:sz w:val="28"/>
                    </w:rPr>
                    <w:t xml:space="preserve">Наименование товара</w:t>
                  </w:r>
                </w:p>
              </w:tc>
              <w:tc>
                <w:p>
                  <w:pPr/>
                  <w:r>
                    <w:rPr>
                      <w:rFonts w:ascii="Times New Roman" w:hAnsi="Times New Roman" w:eastAsia="Times New Roman" w:cs="Times New Roman"/>
                      <w:sz w:val="28"/>
                    </w:rPr>
                    <w:t xml:space="preserve">Вид требования</w:t>
                  </w:r>
                </w:p>
              </w:tc>
              <w:tc>
                <w:p>
                  <w:pPr/>
                  <w:r>
                    <w:rPr>
                      <w:rFonts w:ascii="Times New Roman" w:hAnsi="Times New Roman" w:eastAsia="Times New Roman" w:cs="Times New Roman"/>
                      <w:sz w:val="28"/>
                    </w:rPr>
                    <w:t xml:space="preserve">Обоснование невозможности соблюдения запретов, ограничений</w:t>
                  </w:r>
                </w:p>
              </w:tc>
              <w:tc>
                <w:p>
                  <w:pPr/>
                  <w:r>
                    <w:rPr>
                      <w:rFonts w:ascii="Times New Roman" w:hAnsi="Times New Roman" w:eastAsia="Times New Roman" w:cs="Times New Roman"/>
                      <w:sz w:val="28"/>
                    </w:rPr>
                    <w:t xml:space="preserve">Документы соответствия</w:t>
                  </w:r>
                </w:p>
              </w:tc>
            </w:tr>
            <w:tr>
              <w:tc>
                <w:p>
                  <w:pPr/>
                  <w:r>
                    <w:rPr>
                      <w:rFonts w:ascii="Times New Roman" w:hAnsi="Times New Roman" w:eastAsia="Times New Roman" w:cs="Times New Roman"/>
                      <w:sz w:val="28"/>
                    </w:rPr>
                    <w:t xml:space="preserve">1</w:t>
                  </w:r>
                </w:p>
              </w:tc>
              <w:tc>
                <w:p>
                  <w:pPr>
                    <w:jc w:val="both"/>
                  </w:pPr>
                  <w:r>
                    <w:rPr>
                      <w:rPr>
                        <w:rFonts w:ascii="Times New Roman" w:hAnsi="Times New Roman"/>
                        <w:sz w:val="28"/>
                      </w:rPr>
                    </w:rPr>
                    <w:rPr>
                      <w:rFonts w:ascii="Times New Roman" w:hAnsi="Times New Roman"/>
                      <w:sz w:val="28"/>
                      <w:b/>
                    </w:rPr>
                    <w:t xml:space="preserve">Стол, шкаф, скамейка</w:t>
                  </w:r>
                </w:p>
              </w:tc>
              <w:tc>
                <w:p>
                  <w:pPr>
                    <w:jc w:val="both"/>
                  </w:pPr>
                  <w:r>
                    <w:rPr>
                      <w:rPr>
                        <w:rFonts w:ascii="Times New Roman" w:hAnsi="Times New Roman"/>
                        <w:sz w:val="28"/>
                      </w:rPr>
                    </w:rPr>
                    <w:rPr>
                      <w:rFonts w:ascii="Times New Roman" w:hAnsi="Times New Roman"/>
                      <w:sz w:val="28"/>
                      <w:i/>
                    </w:rPr>
                    <w:t xml:space="preserve"> Ограничение</w:t>
                  </w:r>
                </w:p>
              </w:tc>
              <w:tc>
                <w:p>
                  <w:pPr>
                    <w:jc w:val="both"/>
                  </w:pPr>
                  <w:r>
                    <w:rPr>
                      <w:rPr>
                        <w:rFonts w:ascii="Times New Roman" w:hAnsi="Times New Roman"/>
                        <w:sz w:val="28"/>
                      </w:rPr>
                    </w:rPr>
                    <w:rPr>
                      <w:rFonts w:ascii="Times New Roman" w:hAnsi="Times New Roman"/>
                      <w:sz w:val="28"/>
                      <w:b/>
                    </w:rPr>
                    <w:t xml:space="preserve">-</w:t>
                  </w:r>
                </w:p>
              </w:tc>
              <w:tc>
                <w:p>
                  <w:pPr>
                    <w:jc w:val="both"/>
                  </w:pPr>
                  <w:r>
                    <w:rPr>
                      <w:rPr>
                        <w:rFonts w:ascii="Times New Roman" w:hAnsi="Times New Roman"/>
                        <w:sz w:val="28"/>
                      </w:rPr>
                    </w:rPr>
                    <w:rPr>
                      <w:rFonts w:ascii="Times New Roman" w:hAnsi="Times New Roman"/>
                      <w:sz w:val="28"/>
                    </w:rPr>
                    <w:t xml:space="preserve">Не предусмотрены.</w:t>
                  </w:r>
                </w:p>
              </w:tc>
            </w:tr>
          </w:tbl>
          <w:p>
            <w:r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Постановление Правительства РФ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№ 1875 от 23.12.2024.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