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фамилию, имя, отчество (при наличии), адреса электронной почты и номера телефонов ответственных представителей.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Контракта.</w:t>
              <w:br/>
              <w:t xml:space="preserve">4. Порядок согласования документов и решений, действий, формируемых, принимаемых и реализуемых в ходе исполнения Контракта:</w:t>
              <w:br/>
              <w:t xml:space="preserve">1) если иное не определено требованиями действующего законодательства, Контрактом, направление документов и решений, формируемых, принимаемых и реализуемых в ходе исполнения Контракта, включая документы и решения, подлежащие проверке Заказчиком на соответствие, Требованиям установленным в настоящем Техническом задании (далее - проверка), осуществляются Поставщиком и Заказчиком посредством обмена электронными сообщениями, документами, направляемыми на адреса электронной почты, указанной в разделе «Адреса, реквизиты и подписи Сторон» Контракта;</w:t>
              <w:br/>
              <w:t xml:space="preserve">2) электронные сообщения при направлении подлежат соблюдению требований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действующего законодательства, Технического задания, проверка осуществляется Заказчиком в течение 5 (пяти) рабочих дней со дня поступления обращений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даты,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в настоящем Техническом задании;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такого(их) несоответствия(й) и сроки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  <w:br/>
              <w:t xml:space="preserve">2.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