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оборудования для дошкольных учреждений по ФГОС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Коды и наименования ОКПД2 / КТРУ / КОЗ2, используемые при описании объекта закупки (далее – Товар)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Приведены в приложении 1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Поставщик и Заказчик определяют сотрудников, ответственных за взаимодействие при исполнении Контракта (далее – ответственные представители). Поставщик обязан в срок, указанный в приложении «Перечень документов, которыми обмениваются стороны при исполнении контракта» к Контракту, предоставить Заказчику посредством Портала исполнения контрактов Единой автоматизированной системы управления закупками Московской области (далее - ПИК ЕАСУЗ) информацию об ответственном(ых) представителе(ях) с указанием предоставляемых им полномочий.</w:t>
              <w:br/>
              <w:t xml:space="preserve">2. Заказчик в течение 1 (одного) рабочего дня со дня предоставления Поставщиком информации об ответственном представителе направляет в адрес Поставщика посредством ПИК ЕАСУЗ сведения об ответственном(ых) представителе(ях) Заказчика в составе следующих сведений: должность, фамилия, имя, отчество (при наличии), адрес электронной почты и номер телефона ответственного представителя.</w:t>
              <w:br/>
              <w:t xml:space="preserve">3. В случае замены ответственного(ых) представителя(ей) (в том числе временной) уведомление о замене с приложением актуальных сведений об ответственном(ых) представителе(ях) предоставляется в день такой замены посредством электронной почты, указанной в разделе «Адреса, реквизиты и подписи Сторон» Контракта, если Контрактом или обязательным функционалом ПИК ЕАСУЗ не установлен иной способ направления такого уведомления.</w:t>
              <w:br/>
              <w:t xml:space="preserve">4. Порядок согласования документов, решений и действий, формируемых, принимаемых и реализуемых в ходе исполнения Контракта: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уведомления, требования, документы и решения, включая документы и решения, подлежащие проверке Заказчиком на соответствие требованиям настоящего Технического задания (далее - проверка),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электронных сообщений соблюдаются требования настоящего Технического задания к формату представления данных (сведений, документов), если такие требования установлены;</w:t>
              <w:br/>
              <w:t xml:space="preserve">3) если иное не определено условиями Контракта, требованиями законодательства Российской Федерации или настоящего Технического задания, проверка осуществляется Заказчиком в течение 5 (пяти) рабочих дней со дня поступления обращения о проверке;</w:t>
              <w:br/>
              <w:t xml:space="preserve">4) при необходимости передачи сведений и документов, в том числе в целях их проверки, на бумажном носителе и (или) съемном электронном носителе информации Поставщик уточняет у Заказчика дату, время и место такой передачи;</w:t>
              <w:br/>
              <w:t xml:space="preserve">5) отсутствие сведений о результатах проверки, осуществленной Заказчиком в установленные Техническим заданием или Контрактом сроки, не является основанием для признания представленных документов, решений и сведений отвечающими требованиям, установленным настоящим Техническим заданием;</w:t>
              <w:br/>
              <w:t xml:space="preserve">6) уведомление по результатам проверки о несоответствии представленных документов, решений и сведений должно содержать указание на причины несоответствия и срок их устранения.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Поставляемый Товар должен:</w:t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если иное не предусмотрено описанием объекта закупки;</w:t>
              <w:br/>
              <w:t xml:space="preserve">- соответствовать функциональным, техническим, качественным и эксплуатационным характеристикам (потребительским свойствам), установленным Контрактом и настоящим Техническим заданием, применимым к Товару обязательным требованиям технических регламентов и иных нормативных правовых актов Российской Федерации и актов, составляющих право Евразийского экономического союза, а также требованиям документов по стандартизации, прямо указанных в разделе IX настоящего Технического задания;</w:t>
              <w:br/>
              <w:t xml:space="preserve">- в случаях, установленных законодательством Российской Федерации и актами, составляющими право Евразийского экономического союза, пройти обязательную оценку соответствия. Соответствие Товара установленным обязательным требованиям должно быть подтверждено сертификатом соответствия, зарегистрированной декларацией о соответствии, свидетельством о государственной регистрации либо иным документом, предусмотренным применительно к соответствующему виду Товара. Указанный документ должен иметь юридическую силу в отношении поставляемого Товара.</w:t>
              <w:br/>
              <w:t xml:space="preserve">2. Поставщик своими силами и за свой счет осуществляет уборку и вывоз тары, упаковки и вспомогательных упаковочных материалов, освободившихся после поставки Товара и выполнения предусмотренных Контрактом сопутствующих услуг.</w:t>
              <w:br/>
              <w:t xml:space="preserve">3. На момент передачи Заказчику Товар должен быть свободен от прав третьих лиц, в том числе не находиться в залоге, под арестом или под иным обременением.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Товар должен соответствовать обязательным требованиям безопасности, установленным применимыми к соответствующему виду мебельной продукции актами, в том числе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Обязательное подтверждение соответствия Товара осуществляется в форме, установленной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для соответствующего вида мебельной продукции. Соответствие подтверждается сертификатом соответствия либо зарегистрированной декларацией о соответствии в зависимости от вида Товара. Документ об оценке (подтверждении) соответствия должен распространяться на поставляемый Товар и соответствовать требованиям законодательства, действующим в отношении такого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поставляться в упаковке, предусмотренной изготовителем и (или) необходимой с учетом характера Товара и способа его транспортирования. Упаковка должна обеспечивать сохранность Товара, его комплектующих, фурнитуры и поверхностей при транспортировании, погрузочно-разгрузочных работах, хранении и передаче Заказчику, исключать загрязнение, увлажнение, деформацию, механические повреждения и утрату комплектующих.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Термины, относящиеся к упаковке, применяются в значениях, установленных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а также требованиям технических регламентов, требования которых распространяются на упаковку соответствующего вида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не должна иметь повреждений, загрязнений, следов вскрытия, деформации или иных дефектов, способных повлечь утрату ее защитных свойств, нарушение сохранности Товара, его комплектности либо невозможность прочтения маркировки.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Маркировка мебельной продукции должна соответствовать требованиям нормативно-правового акта,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содержать обязательные сведения, предусмотренные для соответствующего вида Товара. Маркировка должна быть достоверной, понятной и легкочитаемой; обязательная информация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Маркировка транспортной упаковки и грузовых мест при ее нанесении должна соответствовать применимым требованиям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и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в пределах области применения указанных документов.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Товар, поставляемый в разобранном виде, должен сопровождаться инструкцией по сборке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Товар, который в соответствии с законодательством Российской Федерации подлежал обязательной маркировке средствами идентификации на дату его ввода в оборот, должен иметь средство идентификации, нанесенное в порядке и на место, предусмотренные правилами маркировки соответствующей товарной группы, не поврежденное, не закрытое иной информацией и доступное для считывания.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 </w:t>
              <w:br/>
              <w:t xml:space="preserve">2. Поставка должна включать в себя доставку, погрузо-разгрузочные работы. В день поставки товара, предусмотренных Техническим заданием и Контрактом, который должен включать в себя копию декларации соответствия товара. Копия сертификата соответствия товара предоставляется Поставщиком в адрес Заказчика в дополнение к иным предусмотренным Техническим заданием и Контрактом документам в случае его наличия.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о соответствии поставляемого Товара образцу или макету Товара не установлены.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Общие технические условия» (введен в действие Приказом Росстандарта от 15.06.2015 N 683-ст) ГОСТ 16371-2014 от 01.01.2016.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Фурнитура для мебели. Прочность и долговечность выдвижных элементов и их компонентов» (введен в действие Приказом Росстандарта от 27.05.2013 N 125-ст) ГОСТ EN 15338-2012 от 27.05.2013.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мебельной продукции» ТР ТС 025/2012 от 15.06.2012.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