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1.xml" ContentType="application/vnd.openxmlformats-officedocument.theme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1.xml" ContentType="application/vnd.openxmlformats-officedocument.wordprocessingml.header+xml"/>
  <Override PartName="/customXml/item1.xml" ContentType="application/xml"/>
  <Override PartName="/customXml/itemProps11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1" /><Relationship Type="http://schemas.openxmlformats.org/package/2006/relationships/metadata/core-properties" Target="/docProps/core.xml" Id="rId2" /><Relationship Type="http://schemas.openxmlformats.org/officeDocument/2006/relationships/extended-properties" Target="/docProps/app.xml" Id="rId3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tbl>
      <w:tblPr>
        <w:tblStyle w:val="718"/>
        <w:tblW w:w="5000" w:type="pct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4570"/>
      </w:tblGrid>
      <w:tr>
        <w:trPr/>
        <w:tc>
          <w:tcPr>
            <w:tcBorders/>
            <w:tcW w:w="5000" w:type="pct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5 к Контракту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5000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Описание объекта закупки (Техническое задание).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Bdr/>
        <w:spacing/>
        <w:ind/>
        <w:rPr/>
      </w:pPr>
      <w:r/>
      <w:bookmarkStart w:name="FirstTable" w:id="0"/>
      <w:r/>
      <w:bookmarkEnd w:id="0"/>
      <w:r/>
      <w:r/>
    </w:p>
    <w:tbl>
      <w:tblPr>
        <w:tblBorders/>
        <w:tblW w:w="14592" w:type="dxa"/>
        <w:tblLayout w:type="fixed"/>
        <w:tblInd w:w="0" w:type="dxa"/>
      </w:tblPr>
      <w:tblGrid>
        <w:gridCol w:w="1270"/>
        <w:gridCol w:w="13281"/>
      </w:tblGrid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 Раздел. Общие сведения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Наименование предмета закупки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Приобретение печатающих головок и внутренних SSD накопителей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Место поставки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В соответствии с разделом «Место доставки товара» приложения «Сведения об обязательствах сторон и порядке оплаты» к Контракту.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II Раздел. Требования к порядку взаимодействия сторон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Взаимодействие сторон осуществляется в следующем порядке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В целях обеспечения взаимодействия Поставщик и Заказчик определяют сотрудников, ответственных за взаимодействие при исполнении Контракта (далее – ответственные представители). Поставщик обязан в срок, указанный в приложении «Перечень документов, которыми обмениваются стороны при исполнении контракта» к Контракту, предоставить Заказчику посредством Портала исполнения контрактов Единой автоматизированной системы управления закупками Московской области (далее - ПИК ЕАСУЗ) информацию об ответственном(ых) представителе(ях) с указанием предоставляемых им полномочий.</w:t>
              <w:br/>
              <w:t xml:space="preserve">2. Заказчик, в течение 1 (одного) рабочего дня со дня предоставления Поставщиком информации об ответственном представителе, направляет в адрес Поставщика посредством ПИК ЕАСУЗ сведения об ответственном(ых) представителе(ях) Заказчика в составе следующих сведений: должность, фамилию, имя, отчество (при наличии), адреса электронной почты и номера телефонов ответственных представителей.</w:t>
              <w:br/>
              <w:t xml:space="preserve">3. В случае замены ответственного(ых) представителя(ей) (в том числе временной) уведомление о замене с приложением актуальных сведений об ответственном(ых) представителе(ях) предоставляется в день такой замены посредством электронной почты, указанной в разделе «Адреса, реквизиты и подписи Сторон» Контракта.</w:t>
              <w:br/>
              <w:t xml:space="preserve">4. Порядок согласования документов и решений, действий, формируемых, принимаемых и реализуемых в ходе исполнения Контракта:</w:t>
              <w:br/>
              <w:t xml:space="preserve">1) если иное не определено требованиями действующего законодательства, Контрактом, направление уведомлений, требований в рамках исполнения Контракта, направление документов и решений, формируемых, принимаемых и реализуемых в ходе исполнения Контракта, включая документы и решения, подлежащие проверке Заказчиком на соответствие, Требованиям установленным в настоящем Техническом задании (далее - проверка), осуществляются Поставщиком и Заказчиком посредством обмена электронными сообщениями, документами, направляемыми на адреса электронной почты, указанной в разделе «Адреса, реквизиты и подписи Сторон» Контракта;</w:t>
              <w:br/>
              <w:t xml:space="preserve">2) электронные сообщения при направлении подлежат соблюдению требований настоящего Технического задания к формату представления данных (сведений, документов), если такие требования установлены;</w:t>
              <w:br/>
              <w:t xml:space="preserve">3) если иное не определено условиями Контракта, требованиями действующего законодательства, Технического задания, проверка осуществляется Заказчиком в течение 5 (пяти) рабочих дней со дня поступления обращений о проверке;	</w:t>
              <w:br/>
              <w:t xml:space="preserve">4) при необходимости передачи сведений и документов, в том числе в целях их проверки, на бумажном носителе и (или) съемном электронном носителе информации Поставщик уточняет у Заказчика даты, время и место такой передачи;</w:t>
              <w:br/>
              <w:t xml:space="preserve">5) отсутствие подтверждения о соответствии требованиям настоящего Технического задания (далее - Требования) Заказчиком в установленные Техническим заданием или контрактом сроки, не является основанием для признания представленных документов, решений и сведений, соответствующими Требованиям;</w:t>
              <w:br/>
              <w:t xml:space="preserve">6) отказ в соответствии Требованиям должен содержать указание на причины такого отказа и сроки их устранения.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III Раздел. Требования к условиям поставки товаров (выполнения работ, оказания услуг)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Общие требования к Товару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1. Поставляемый Товар должен: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быть новым товаром 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 если иное не предусмотрено описанием объекта закупки;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соответствовать требованиям действующих государственных и международных стандартов и других нормативных актов Российской Федерации, требованиям безопасности, функциональным и качественным характеристикам для данной группы товаров применяемых исключительно в действующей редакции, с учетом изменений и дополнений, в том числе согласно актам, указанным в IX Разделе настоящего Технического задания;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соответствовать по качеству и потребительским свойствам сертификатам, свидетельствам и паспортам качества производителей, декларациям о соответствии, действующим на территории Российской Федерации (в случае если в отношении данной группы товаров установлено требование об обязательном подтверждении соответствия);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В сопроводительной документации на Товар, на этикетке маркировкой или иным способом должны быть указаны специальные правила, если для безопасного использования Товара, его хранения, транспортировки их необходимо соблюдать.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3. Уборка и вывоз тары, упаковки (включая вспомогательные упаковочные средства) производится силами Поставщика в соответствии с условиями Контракта.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4. Поставляемый по Контракту Товар не должен находиться в залоге, под арестом или под иным обременением.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безопасности и качеству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1. Товар должен соответствовать требованиям безопасности, экологическим требованиям и техническим характеристикам в соответствии с нормативно-правовыми актами, указанными в пунктах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5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,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4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Соответствие качества и безопасности товара должно быть подтверждено: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Товар должен быть разрешен к применению на территории Российской Федерации и сопровождаться сертификатом соответствия и (или) декларацией о соответствии, подтверждающими его соответствие установленным требованиям для продукции, включенной в перечень продукции, подлежащей обязательной сертификации.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упаковке и маркировке поставляемого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Для обеспечения высокого качества поставок и соблюдения законодательных требований, упаковка и маркировка поставляемых товаров должны отвечать следующим требованиям: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1. Упаковка должна обеспечивать сохранность товара при транспортировке и хранении, быть чистой, герметичной, без повреждений соответствовать требованиям нормативно-правового акта, указанного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3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К каждой партии товара прилагается упаковочный лист (упаковочная спецификация) в двух экземплярах, в котором указываются: наименование продукции, количество, вес -нетто и -брутто, номер и дата Контракта или заказа.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3. Упаковочный лист должен содержать описание упаковочных материалов и подтверждение соответствия требованиям стандартов, включая данные об условиях хранения и транспортировки.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4. Упаковочная документация должна сопровождать всю грузовую партию и передаваться ответственному лицу при приемке.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5. Упаковка должна обеспечивать целостность и сохранность товара в течение всего срока транспортирования и хранения, быть выполнена из экологичных и прочных материалов. Все элементы упаковки должны быть защищены от повреждений, влаги, загрязнений и других негативных воздействий.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6. Маркировка товара должна соответствовать нормативно-правовому акту, указанному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6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7. Маркировка упаковки должна содержать указания по обращению с грузом (символы «Хрупкое», «Беречь от влаги», «Верх», температурные ограничения и другие) согласно нормативно-правовым актам, указанным в пунктах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2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,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6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 и другим нормативным актам, регулирующим безопасность упаковки и её обращение.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8. Все надписи, символы, пиктограммы должны соответствовать требованиям нормативно-правового указанного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2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информация должна наноситься разборчивым и устойчивым к воздействию окружающей среды шрифтом.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на упаковках и этикетках должны присутствовать инструкции по безопасной утилизации упаковки и предупреждения о возможных рисках.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9. Маркировка должна содержать полную и достоверную информацию, позволяющую идентифицировать товар и производителя, а также обеспечить безопасность использования.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Обязательная информация на маркировке и упаковке товара включает: наименование, назначение и область применения, размер (если применимо), количество единиц в комплекте поставки, дату изготовления, срок хранения или срок годности к применению, страну происхождения, при наличии товарного знака – его обозначение, юридический адрес изготовителя (а для импортного товара – также адрес импортёра), номер сертификата соответствия или номер декларации о соответствии установленным требованиям безопасности, а также ссылку на инструкцию по правильному хранению и эксплуатации, при этом вся информация должна быть на русском языке (допускается дублирование на иностранных языках при условии полного перевода на русский).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10. Маркировка должна включать обязательные знаки соответствия установленным стандартам (например, знак ЕАС) и, при наличии соответствующих свойств, экологические маркировки (если применимо).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11. Допускается дублирование маркировочных знаков в сопроводительной документации.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условиям поставки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Поставка Товара осуществляется в порядке и сроки, установленные в разделе «Обязательства по поставке товара» приложения 2 к Контракту. </w:t>
              <w:br/>
              <w:t xml:space="preserve">2. Поставка должна включать в себя доставку, погрузо-разгрузочные работы, Поставщик на момент поставки должен предоставить копию сертификата соответствия в случае, если продукция подлежит обязательной сертификации, или копию декларации о соответствии.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IV Раздел. Срок  (график) место, объемы поставки товаров (выполнения работ, оказания услуг)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Срок (график), место, объемы поставки товаров (выполнения работ, оказания услуг) определены в приложении 2 к Контракту.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 Раздел. Информация о месте, датах начала и окончания, порядке и графике осмотра участником закупки образца или макета товара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о соответствии поставляемого товара образцу или макету товара не установлены.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 Раздел. Функциональные, технические, качественные, эксплуатационные характеристики товаров, подлежащих поставке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rPr>
                <w:b w:val="true"/>
              </w:rPr>
              <w:t xml:space="preserve">VII Раздел. Дополнительные сведения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Приемка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Порядок и сроки осуществления приемки поставленного товара установлены в разделе «Порядок и сроки осуществления приемки и оформления результатов» Приложения 2 к Контракту. </w:t>
              <w:br/>
              <w:t xml:space="preserve">2. Перечень и сроки предоставления отчетной документации установлены в Приложении 3 к Контракту «Перечень документов, которыми обмениваются стороны при исполнении контракта».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VIII Раздел. Требования к гарантии качества товара, работы, услуги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Гарантийные обязательства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Гарантийный срок на поставляемые товары указан в разделе «Сведения о гарантии качества товара, работы, услуги» приложения 1 к Контракту. </w:t>
              <w:br/>
              <w:t xml:space="preserve">2. Гарантийный срок начинает исчисляться с даты подписания или утверждения Заказчиком документа о приемке, указанного в разделе «Порядок и сроки осуществления приемки и оформления результатов» приложения 2 к Контракту.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IX Раздел. Перечень правовых актов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Межгосударственный стандарт. «Маркировка грузов» ГОСТ 14192-96 от 18.06.1997.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Межгосударственный стандарт. «Упаковка. Маркировка, указывающая на способ обращения с грузами» ГОСТ 34757-2021 от 14.09.2021.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«Межгосударственный стандарт. Упаковка. Термины и определения» ГОСТ 17527-2020.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Решение Коллегии Евразийской экономической комиссии «Об утверждении перечня продукции, подлежащей обязательной оценке соответствия требованиям технического регламента Таможенного союза «О безопасности низковольтного оборудования» (ТР ТС 004/2011), в отношении которой при помещении под таможенные процедуры подтверждается соблюдение мер технического регулирования» № 91 от 24.04.2013.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Решение Комиссии Таможенного союза «О принятии технического регламента Таможенного союза «О безопасности низковольтного оборудования» (вместе с «ТР ТС 004/2011. Технический регламент Таможенного Союза. О безопасности низковольтного оборудования») № 768 от 16.08.2011.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Технический регламент Таможенного союза. «О безопасности упаковки, принятый решением Комиссии Таможенного союза» ТР ТС 005/2011 от 16.08.2011.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X Раздел. Приложения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Приложения к настоящему Описанию объекта закупки (Техническому заданию) при их наличии оформляются отдельными файлами и являются его неотъемлемой частью.</w:t>
            </w:r>
          </w:p>
        </w:tc>
      </w:tr>
      <w:tr>
        <w:tc>
          <w:p/>
        </w:tc>
        <w:tc>
          <w:p/>
        </w:tc>
      </w:tr>
    </w:tbl>
    <w:sectPr>
      <w:headerReference w:type="default" r:id="rId9"/>
      <w:footnotePr/>
      <w:endnotePr/>
      <w:type w:val="nextPage"/>
      <w:pgSz w:w="16838" w:h="11906" w:orient="landscape"/>
      <w:pgMar w:top="1134" w:right="1134" w:bottom="850" w:left="1134" w:header="708" w:footer="708" w:gutter="0"/>
      <w:cols w:equalWidth="1" w:space="708" w:num="1" w:sep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204020203"/>
  </w:font>
  <w:font w:name="Courier New">
    <w:panose1 w:val="020703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19"/>
      <w:pBdr/>
      <w:spacing/>
      <w:ind/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</w:r>
    <w:r>
      <w:rPr>
        <w:rFonts w:ascii="Times New Roman" w:hAnsi="Times New Roman" w:cs="Times New Roman"/>
        <w:b/>
        <w:sz w:val="28"/>
        <w:szCs w:val="2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71277EB"/>
    <w:lvl w:ilvl="0">
      <w:isLgl w:val="false"/>
      <w:lvlJc w:val="left"/>
      <w:lvlText w:val="%1."/>
      <w:numFmt w:val="decimal"/>
      <w:pPr>
        <w:pBdr/>
        <w:spacing/>
        <w:ind w:hanging="360" w:left="90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2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4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6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78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0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2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4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60"/>
      </w:pPr>
      <w:rPr/>
      <w:start w:val="1"/>
      <w:suff w:val="tab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doNotExpandShiftReturn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712"/>
    <w:next w:val="712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712"/>
    <w:next w:val="712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712"/>
    <w:next w:val="712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712"/>
    <w:next w:val="712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712"/>
    <w:next w:val="712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712"/>
    <w:next w:val="712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712"/>
    <w:next w:val="712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712"/>
    <w:next w:val="712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712"/>
    <w:next w:val="712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713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713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713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713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713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713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713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713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713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712"/>
    <w:next w:val="712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713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712"/>
    <w:next w:val="712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713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712"/>
    <w:next w:val="712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713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5">
    <w:name w:val="List Paragraph"/>
    <w:basedOn w:val="712"/>
    <w:uiPriority w:val="34"/>
    <w:qFormat/>
    <w:pPr>
      <w:pBdr/>
      <w:spacing/>
      <w:ind w:left="720"/>
      <w:contextualSpacing w:val="true"/>
    </w:pPr>
  </w:style>
  <w:style w:type="character" w:styleId="166">
    <w:name w:val="Intense Emphasis"/>
    <w:basedOn w:val="71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712"/>
    <w:next w:val="712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713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71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712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71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13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713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71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13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77">
    <w:name w:val="Header Char"/>
    <w:basedOn w:val="713"/>
    <w:link w:val="719"/>
    <w:uiPriority w:val="99"/>
    <w:pPr>
      <w:pBdr/>
      <w:spacing/>
      <w:ind/>
    </w:pPr>
  </w:style>
  <w:style w:type="character" w:styleId="179">
    <w:name w:val="Footer Char"/>
    <w:basedOn w:val="713"/>
    <w:link w:val="721"/>
    <w:uiPriority w:val="99"/>
    <w:pPr>
      <w:pBdr/>
      <w:spacing/>
      <w:ind/>
    </w:pPr>
  </w:style>
  <w:style w:type="paragraph" w:styleId="180">
    <w:name w:val="Caption"/>
    <w:basedOn w:val="712"/>
    <w:next w:val="712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character" w:styleId="182">
    <w:name w:val="Footnote Text Char"/>
    <w:basedOn w:val="713"/>
    <w:link w:val="725"/>
    <w:uiPriority w:val="99"/>
    <w:semiHidden/>
    <w:pPr>
      <w:pBdr/>
      <w:spacing/>
      <w:ind/>
    </w:pPr>
    <w:rPr>
      <w:sz w:val="20"/>
      <w:szCs w:val="20"/>
    </w:rPr>
  </w:style>
  <w:style w:type="paragraph" w:styleId="184">
    <w:name w:val="endnote text"/>
    <w:basedOn w:val="712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713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713"/>
    <w:uiPriority w:val="99"/>
    <w:semiHidden/>
    <w:unhideWhenUsed/>
    <w:pPr>
      <w:pBdr/>
      <w:spacing/>
      <w:ind/>
    </w:pPr>
    <w:rPr>
      <w:vertAlign w:val="superscript"/>
    </w:rPr>
  </w:style>
  <w:style w:type="character" w:styleId="188">
    <w:name w:val="FollowedHyperlink"/>
    <w:basedOn w:val="71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712"/>
    <w:next w:val="712"/>
    <w:uiPriority w:val="39"/>
    <w:unhideWhenUsed/>
    <w:pPr>
      <w:pBdr/>
      <w:spacing w:after="100"/>
      <w:ind/>
    </w:pPr>
  </w:style>
  <w:style w:type="paragraph" w:styleId="190">
    <w:name w:val="toc 2"/>
    <w:basedOn w:val="712"/>
    <w:next w:val="712"/>
    <w:uiPriority w:val="39"/>
    <w:unhideWhenUsed/>
    <w:pPr>
      <w:pBdr/>
      <w:spacing w:after="100"/>
      <w:ind w:left="220"/>
    </w:pPr>
  </w:style>
  <w:style w:type="paragraph" w:styleId="191">
    <w:name w:val="toc 3"/>
    <w:basedOn w:val="712"/>
    <w:next w:val="712"/>
    <w:uiPriority w:val="39"/>
    <w:unhideWhenUsed/>
    <w:pPr>
      <w:pBdr/>
      <w:spacing w:after="100"/>
      <w:ind w:left="440"/>
    </w:pPr>
  </w:style>
  <w:style w:type="paragraph" w:styleId="192">
    <w:name w:val="toc 4"/>
    <w:basedOn w:val="712"/>
    <w:next w:val="712"/>
    <w:uiPriority w:val="39"/>
    <w:unhideWhenUsed/>
    <w:pPr>
      <w:pBdr/>
      <w:spacing w:after="100"/>
      <w:ind w:left="660"/>
    </w:pPr>
  </w:style>
  <w:style w:type="paragraph" w:styleId="193">
    <w:name w:val="toc 5"/>
    <w:basedOn w:val="712"/>
    <w:next w:val="712"/>
    <w:uiPriority w:val="39"/>
    <w:unhideWhenUsed/>
    <w:pPr>
      <w:pBdr/>
      <w:spacing w:after="100"/>
      <w:ind w:left="880"/>
    </w:pPr>
  </w:style>
  <w:style w:type="paragraph" w:styleId="194">
    <w:name w:val="toc 6"/>
    <w:basedOn w:val="712"/>
    <w:next w:val="712"/>
    <w:uiPriority w:val="39"/>
    <w:unhideWhenUsed/>
    <w:pPr>
      <w:pBdr/>
      <w:spacing w:after="100"/>
      <w:ind w:left="1100"/>
    </w:pPr>
  </w:style>
  <w:style w:type="paragraph" w:styleId="195">
    <w:name w:val="toc 7"/>
    <w:basedOn w:val="712"/>
    <w:next w:val="712"/>
    <w:uiPriority w:val="39"/>
    <w:unhideWhenUsed/>
    <w:pPr>
      <w:pBdr/>
      <w:spacing w:after="100"/>
      <w:ind w:left="1320"/>
    </w:pPr>
  </w:style>
  <w:style w:type="paragraph" w:styleId="196">
    <w:name w:val="toc 8"/>
    <w:basedOn w:val="712"/>
    <w:next w:val="712"/>
    <w:uiPriority w:val="39"/>
    <w:unhideWhenUsed/>
    <w:pPr>
      <w:pBdr/>
      <w:spacing w:after="100"/>
      <w:ind w:left="1540"/>
    </w:pPr>
  </w:style>
  <w:style w:type="paragraph" w:styleId="197">
    <w:name w:val="toc 9"/>
    <w:basedOn w:val="712"/>
    <w:next w:val="712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713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712"/>
    <w:next w:val="712"/>
    <w:uiPriority w:val="99"/>
    <w:unhideWhenUsed/>
    <w:pPr>
      <w:pBdr/>
      <w:spacing w:after="0" w:afterAutospacing="0"/>
      <w:ind/>
    </w:pPr>
  </w:style>
  <w:style w:type="paragraph" w:styleId="712" w:default="1">
    <w:name w:val="Normal"/>
    <w:qFormat/>
    <w:pPr>
      <w:pBdr/>
      <w:spacing/>
      <w:ind/>
    </w:pPr>
  </w:style>
  <w:style w:type="character" w:styleId="713" w:default="1">
    <w:name w:val="Default Paragraph Font"/>
    <w:uiPriority w:val="1"/>
    <w:semiHidden/>
    <w:unhideWhenUsed/>
    <w:pPr>
      <w:pBdr/>
      <w:spacing/>
      <w:ind/>
    </w:pPr>
  </w:style>
  <w:style w:type="table" w:styleId="714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15" w:default="1">
    <w:name w:val="No List"/>
    <w:uiPriority w:val="99"/>
    <w:semiHidden/>
    <w:unhideWhenUsed/>
    <w:pPr>
      <w:pBdr/>
      <w:spacing/>
      <w:ind/>
    </w:pPr>
  </w:style>
  <w:style w:type="paragraph" w:styleId="716" w:customStyle="1">
    <w:name w:val="ConsPlusNormal"/>
    <w:pPr>
      <w:widowControl w:val="false"/>
      <w:pBdr/>
      <w:spacing w:after="0" w:line="240" w:lineRule="auto"/>
      <w:ind/>
    </w:pPr>
    <w:rPr>
      <w:rFonts w:ascii="Times New Roman" w:hAnsi="Times New Roman" w:cs="Times New Roman" w:eastAsiaTheme="minorEastAsia"/>
      <w:sz w:val="24"/>
      <w:szCs w:val="24"/>
      <w:lang w:eastAsia="ru-RU"/>
    </w:rPr>
  </w:style>
  <w:style w:type="paragraph" w:styleId="717" w:customStyle="1">
    <w:name w:val="ConsPlusNonformat"/>
    <w:uiPriority w:val="99"/>
    <w:pPr>
      <w:widowControl w:val="false"/>
      <w:pBdr/>
      <w:spacing w:after="0" w:line="240" w:lineRule="auto"/>
      <w:ind/>
    </w:pPr>
    <w:rPr>
      <w:rFonts w:ascii="Courier New" w:hAnsi="Courier New" w:cs="Courier New" w:eastAsiaTheme="minorEastAsia"/>
      <w:sz w:val="20"/>
      <w:szCs w:val="20"/>
      <w:lang w:eastAsia="ru-RU"/>
    </w:rPr>
  </w:style>
  <w:style w:type="table" w:styleId="718">
    <w:name w:val="Table Grid"/>
    <w:basedOn w:val="714"/>
    <w:uiPriority w:val="3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719">
    <w:name w:val="Header"/>
    <w:basedOn w:val="712"/>
    <w:link w:val="720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720" w:customStyle="1">
    <w:name w:val="Верхний колонтитул Знак"/>
    <w:basedOn w:val="713"/>
    <w:link w:val="719"/>
    <w:uiPriority w:val="99"/>
    <w:pPr>
      <w:pBdr/>
      <w:spacing/>
      <w:ind/>
    </w:pPr>
  </w:style>
  <w:style w:type="paragraph" w:styleId="721">
    <w:name w:val="Footer"/>
    <w:basedOn w:val="712"/>
    <w:link w:val="722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722" w:customStyle="1">
    <w:name w:val="Нижний колонтитул Знак"/>
    <w:basedOn w:val="713"/>
    <w:link w:val="721"/>
    <w:uiPriority w:val="99"/>
    <w:pPr>
      <w:pBdr/>
      <w:spacing/>
      <w:ind/>
    </w:pPr>
  </w:style>
  <w:style w:type="character" w:styleId="723" w:customStyle="1">
    <w:name w:val="Основной текст_"/>
    <w:link w:val="724"/>
    <w:pPr>
      <w:pBdr/>
      <w:spacing/>
      <w:ind/>
    </w:pPr>
    <w:rPr>
      <w:rFonts w:ascii="Times New Roman" w:hAnsi="Times New Roman" w:cs="Times New Roman"/>
      <w:sz w:val="21"/>
      <w:szCs w:val="21"/>
      <w:shd w:val="clear" w:color="auto" w:fill="ffffff"/>
    </w:rPr>
  </w:style>
  <w:style w:type="paragraph" w:styleId="724" w:customStyle="1">
    <w:name w:val="Основной текст7"/>
    <w:basedOn w:val="712"/>
    <w:link w:val="723"/>
    <w:pPr>
      <w:pBdr/>
      <w:shd w:val="clear" w:color="auto" w:fill="ffffff"/>
      <w:spacing w:after="0" w:before="6660" w:line="254" w:lineRule="exact"/>
      <w:ind/>
      <w:jc w:val="center"/>
    </w:pPr>
    <w:rPr>
      <w:rFonts w:ascii="Times New Roman" w:hAnsi="Times New Roman" w:cs="Times New Roman"/>
      <w:sz w:val="21"/>
      <w:szCs w:val="21"/>
    </w:rPr>
  </w:style>
  <w:style w:type="paragraph" w:styleId="725">
    <w:name w:val="footnote text"/>
    <w:basedOn w:val="712"/>
    <w:link w:val="726"/>
    <w:uiPriority w:val="99"/>
    <w:unhideWhenUsed/>
    <w:qFormat/>
    <w:pPr>
      <w:pBdr/>
      <w:spacing w:after="0" w:line="240" w:lineRule="auto"/>
      <w:ind/>
    </w:pPr>
    <w:rPr>
      <w:sz w:val="20"/>
      <w:szCs w:val="20"/>
    </w:rPr>
  </w:style>
  <w:style w:type="character" w:styleId="726" w:customStyle="1">
    <w:name w:val="Текст сноски Знак"/>
    <w:basedOn w:val="713"/>
    <w:link w:val="725"/>
    <w:uiPriority w:val="99"/>
    <w:pPr>
      <w:pBdr/>
      <w:spacing/>
      <w:ind/>
    </w:pPr>
    <w:rPr>
      <w:sz w:val="20"/>
      <w:szCs w:val="20"/>
    </w:rPr>
  </w:style>
  <w:style w:type="character" w:styleId="727">
    <w:name w:val="footnote reference"/>
    <w:basedOn w:val="713"/>
    <w:uiPriority w:val="99"/>
    <w:semiHidden/>
    <w:unhideWhenUsed/>
    <w:pPr>
      <w:pBdr/>
      <w:spacing/>
      <w:ind/>
    </w:pPr>
    <w:rPr>
      <w:vertAlign w:val="superscript"/>
    </w:rPr>
  </w:style>
  <w:style w:type="character" w:styleId="728">
    <w:name w:val="annotation reference"/>
    <w:basedOn w:val="713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729">
    <w:name w:val="annotation text"/>
    <w:basedOn w:val="712"/>
    <w:link w:val="730"/>
    <w:uiPriority w:val="99"/>
    <w:unhideWhenUsed/>
    <w:pPr>
      <w:pBdr/>
      <w:spacing w:line="240" w:lineRule="auto"/>
      <w:ind/>
    </w:pPr>
    <w:rPr>
      <w:sz w:val="20"/>
      <w:szCs w:val="20"/>
    </w:rPr>
  </w:style>
  <w:style w:type="character" w:styleId="730" w:customStyle="1">
    <w:name w:val="Текст примечания Знак"/>
    <w:basedOn w:val="713"/>
    <w:link w:val="729"/>
    <w:uiPriority w:val="99"/>
    <w:pPr>
      <w:pBdr/>
      <w:spacing/>
      <w:ind/>
    </w:pPr>
    <w:rPr>
      <w:sz w:val="20"/>
      <w:szCs w:val="20"/>
    </w:rPr>
  </w:style>
  <w:style w:type="paragraph" w:styleId="731">
    <w:name w:val="annotation subject"/>
    <w:basedOn w:val="729"/>
    <w:next w:val="729"/>
    <w:link w:val="732"/>
    <w:uiPriority w:val="99"/>
    <w:semiHidden/>
    <w:unhideWhenUsed/>
    <w:pPr>
      <w:pBdr/>
      <w:spacing/>
      <w:ind/>
    </w:pPr>
    <w:rPr>
      <w:b/>
      <w:bCs/>
    </w:rPr>
  </w:style>
  <w:style w:type="character" w:styleId="732" w:customStyle="1">
    <w:name w:val="Тема примечания Знак"/>
    <w:basedOn w:val="730"/>
    <w:link w:val="731"/>
    <w:uiPriority w:val="99"/>
    <w:semiHidden/>
    <w:pPr>
      <w:pBdr/>
      <w:spacing/>
      <w:ind/>
    </w:pPr>
    <w:rPr>
      <w:b/>
      <w:bCs/>
      <w:sz w:val="20"/>
      <w:szCs w:val="20"/>
    </w:rPr>
  </w:style>
  <w:style w:type="paragraph" w:styleId="733">
    <w:name w:val="Balloon Text"/>
    <w:basedOn w:val="712"/>
    <w:link w:val="734"/>
    <w:uiPriority w:val="99"/>
    <w:semiHidden/>
    <w:unhideWhenUsed/>
    <w:pPr>
      <w:pBdr/>
      <w:spacing w:after="0" w:line="240" w:lineRule="auto"/>
      <w:ind/>
    </w:pPr>
    <w:rPr>
      <w:rFonts w:ascii="Segoe UI" w:hAnsi="Segoe UI" w:cs="Segoe UI"/>
      <w:sz w:val="18"/>
      <w:szCs w:val="18"/>
    </w:rPr>
  </w:style>
  <w:style w:type="character" w:styleId="734" w:customStyle="1">
    <w:name w:val="Текст выноски Знак"/>
    <w:basedOn w:val="713"/>
    <w:link w:val="733"/>
    <w:uiPriority w:val="99"/>
    <w:semiHidden/>
    <w:pPr>
      <w:pBdr/>
      <w:spacing/>
      <w:ind/>
    </w:pPr>
    <w:rPr>
      <w:rFonts w:ascii="Segoe UI" w:hAnsi="Segoe UI" w:cs="Segoe UI"/>
      <w:sz w:val="18"/>
      <w:szCs w:val="18"/>
    </w:rPr>
  </w:style>
  <w:style w:type="paragraph" w:styleId="735">
    <w:name w:val="Revision"/>
    <w:hidden/>
    <w:uiPriority w:val="99"/>
    <w:semiHidden/>
    <w:pPr>
      <w:pBdr/>
      <w:spacing w:after="0" w:line="240" w:lineRule="auto"/>
      <w:ind/>
    </w:pPr>
  </w:style>
  <w:style w:type="character" w:styleId="736">
    <w:name w:val="Hyperlink"/>
    <w:basedOn w:val="713"/>
    <w:uiPriority w:val="99"/>
    <w:unhideWhenUsed/>
    <w:pPr>
      <w:pBdr/>
      <w:spacing/>
      <w:ind/>
    </w:pPr>
    <w:rPr>
      <w:color w:val="0563c1" w:themeColor="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Id1" /><Relationship Type="http://schemas.openxmlformats.org/officeDocument/2006/relationships/settings" Target="/word/settings.xml" Id="rId2" /><Relationship Type="http://schemas.openxmlformats.org/officeDocument/2006/relationships/webSettings" Target="/word/webSettings.xml" Id="rId3" /><Relationship Type="http://schemas.openxmlformats.org/officeDocument/2006/relationships/fontTable" Target="/word/fontTable.xml" Id="rId4" /><Relationship Type="http://schemas.openxmlformats.org/officeDocument/2006/relationships/theme" Target="/word/theme/theme11.xml" Id="rId5" /><Relationship Type="http://schemas.openxmlformats.org/officeDocument/2006/relationships/numbering" Target="/word/numbering.xml" Id="rId6" /><Relationship Type="http://schemas.openxmlformats.org/officeDocument/2006/relationships/footnotes" Target="/word/footnotes.xml" Id="rId7" /><Relationship Type="http://schemas.openxmlformats.org/officeDocument/2006/relationships/endnotes" Target="/word/endnotes.xml" Id="rId8" /><Relationship Type="http://schemas.openxmlformats.org/officeDocument/2006/relationships/header" Target="/word/header11.xml" Id="rId9" /><Relationship Type="http://schemas.openxmlformats.org/officeDocument/2006/relationships/customXml" Target="/customXml/item1.xml" Id="rId10" /></Relationships>
</file>

<file path=word/theme/theme1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3CDBBD55-D9AE-478F-8C96-86A0E4351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ONLYOFFICE/9.0.4.50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revision>69</cp:revision>
  <dcterms:created xsi:type="dcterms:W3CDTF">2022-05-31T20:41:00Z</dcterms:created>
  <dcterms:modified xsi:type="dcterms:W3CDTF">2025-09-24T10:59:52Z</dcterms:modified>
</cp:coreProperties>
</file>