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прочие/22.22.10.000-00000006-Мешок полимерный/11.109.02.04.01.02.008-Мешок полимерный, полипропиленый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Мешок полимерный (Мешок тканый полипропиленовый)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Полипропилен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Группа прочности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Обыкновенная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1000≤ 1100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ручек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60≤ 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550≤ 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14.12.30.150-Рукавицы, перчатки производственные и профессиональные/14.12.30.150-00000003-Перчатки трикотажные для защиты от внешних воздействий/11.103.01.02.01.01.003-Перчатки трикотажные для защиты от механических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трикотажные для защиты от внешних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защиты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 механических воздействий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основного сырья (волокна) в составе ткани/трикотажного полотна основного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Хлопок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полимерного покрытия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Поливинилхлоридное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Класс вязки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перчатки (размер кисти)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Дюйм (25,4 мм)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полимерного покрытия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Точечное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Уровень защиты, не ниже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медицинских)/11.103.01.02.01.01.011-Перчатки резиновые хозяйственные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резиновые общего назначения (кроме медицинских) (перчатки нитриловые размер 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рабочей поверхности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Гладкая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Хозяйственного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прочие/22.22.10.000-00000006-Мешок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14.12.30.150-Рукавицы, перчатки производственные и профессиональные/14.12.30.150-00000003-Перчатки трикотажные для защиты от внешних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