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клея, корректирующих средств, маркеров, текстовыделителей, штемпельной краски и иных товаров, содержащих жидкие, клеящие, красящие или корректирующие составы, упаковка должна исключать вытекание, испарение, загрязнение иных товаров и повреждение транспортной тары при обычных условиях перевозки, хранения и передачи Заказчику.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  <w:br/>
              <w:t xml:space="preserve">ТЗ канцтовары 09.26 .docx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