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C7C2E" w14:textId="77777777" w:rsidR="005373D7" w:rsidRPr="00CA456E" w:rsidRDefault="005373D7" w:rsidP="00701A31">
      <w:pPr>
        <w:spacing w:before="120" w:after="120" w:line="240" w:lineRule="auto"/>
        <w:jc w:val="right"/>
        <w:rPr>
          <w:rFonts w:ascii="Times New Roman" w:hAnsi="Times New Roman" w:cs="Times New Roman"/>
          <w:color w:val="000000" w:themeColor="text1"/>
          <w:sz w:val="24"/>
          <w:szCs w:val="24"/>
        </w:rPr>
      </w:pPr>
    </w:p>
    <w:p w14:paraId="02A0BADB" w14:textId="2C58247F" w:rsidR="003D3999" w:rsidRPr="00CA456E" w:rsidRDefault="003D3999" w:rsidP="003D3999">
      <w:pPr>
        <w:spacing w:before="120" w:after="120" w:line="240" w:lineRule="auto"/>
        <w:jc w:val="center"/>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ОПИСАНИЕ ОБЪЕКТА ЗАКУПКИ/ТЕХНИЧЕСКОЕ ЗАДАНИЕ</w:t>
      </w:r>
    </w:p>
    <w:p w14:paraId="6B2D1349" w14:textId="77777777" w:rsidR="003D3999" w:rsidRPr="00CA456E" w:rsidRDefault="003D3999" w:rsidP="003D3999">
      <w:pPr>
        <w:spacing w:before="120" w:after="120" w:line="240" w:lineRule="auto"/>
        <w:jc w:val="center"/>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Оказание услуг по предоставлению доступа к сетевому изданию «Информационный ресурс СПАРК» (5 доступов)</w:t>
      </w:r>
    </w:p>
    <w:p w14:paraId="3B49CC69" w14:textId="77777777" w:rsidR="003D3999" w:rsidRPr="00CA456E" w:rsidRDefault="003D3999" w:rsidP="003D3999">
      <w:pPr>
        <w:spacing w:before="120" w:after="120" w:line="240" w:lineRule="auto"/>
        <w:jc w:val="both"/>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1. Объект закупки</w:t>
      </w:r>
    </w:p>
    <w:p w14:paraId="1933B07D"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Услуги по обработке данных, размещению, услуги по предоставлению приложений и прочей инфраструктуры информационных технологий, услуги, связанные с созданием и использованием баз данных и информационных ресурсов (Оказание услуг по предоставлению доступа к сетевому изданию «Информационный ресурс СПАРК» (5 доступов)).</w:t>
      </w:r>
    </w:p>
    <w:p w14:paraId="6F0664CD"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КТРУ 63.11.10.000-00000003 - Услуги по обработке данных, размещению, услуги по предоставлению приложений и прочей инфраструктуры информационных технологий, услуги, связанные с созданием и использованием баз данных и информационных ресурсов.</w:t>
      </w:r>
    </w:p>
    <w:p w14:paraId="635611EB"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b/>
          <w:color w:val="000000" w:themeColor="text1"/>
          <w:sz w:val="24"/>
          <w:szCs w:val="24"/>
        </w:rPr>
        <w:t xml:space="preserve">2. Код по КОЗ: </w:t>
      </w:r>
      <w:r w:rsidRPr="00CA456E">
        <w:rPr>
          <w:rFonts w:ascii="Times New Roman" w:hAnsi="Times New Roman" w:cs="Times New Roman"/>
          <w:color w:val="000000" w:themeColor="text1"/>
          <w:sz w:val="24"/>
          <w:szCs w:val="24"/>
        </w:rPr>
        <w:t>02.25.03.13.08 - Предоставление доступа к информационным ресурсам.</w:t>
      </w:r>
    </w:p>
    <w:p w14:paraId="77FA518A"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b/>
          <w:color w:val="000000" w:themeColor="text1"/>
          <w:sz w:val="24"/>
          <w:szCs w:val="24"/>
        </w:rPr>
        <w:t>3. Код по КОЗ2:</w:t>
      </w:r>
      <w:r w:rsidRPr="00CA456E">
        <w:rPr>
          <w:rFonts w:ascii="Times New Roman" w:hAnsi="Times New Roman" w:cs="Times New Roman"/>
          <w:color w:val="000000" w:themeColor="text1"/>
          <w:sz w:val="24"/>
          <w:szCs w:val="24"/>
        </w:rPr>
        <w:t xml:space="preserve"> 21.205.04.01.01.04.003 - Услуги по предоставлению доступа к информационным ресурсам и использованию программного обеспечения.</w:t>
      </w:r>
    </w:p>
    <w:p w14:paraId="59170DEC"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b/>
          <w:color w:val="000000" w:themeColor="text1"/>
          <w:sz w:val="24"/>
          <w:szCs w:val="24"/>
        </w:rPr>
        <w:t>4. Код по ОКПД2:</w:t>
      </w:r>
      <w:r w:rsidRPr="00CA456E">
        <w:rPr>
          <w:rFonts w:ascii="Times New Roman" w:hAnsi="Times New Roman" w:cs="Times New Roman"/>
          <w:color w:val="000000" w:themeColor="text1"/>
          <w:sz w:val="24"/>
          <w:szCs w:val="24"/>
        </w:rPr>
        <w:t xml:space="preserve"> 63.11.13.000 - Услуги по предоставлению программного обеспечения без его размещения на компьютерном оборудовании пользователя.</w:t>
      </w:r>
    </w:p>
    <w:p w14:paraId="647DFB10" w14:textId="77777777" w:rsidR="003D3999" w:rsidRPr="00CA456E" w:rsidRDefault="003D3999" w:rsidP="003D3999">
      <w:pPr>
        <w:spacing w:before="120" w:after="120" w:line="240" w:lineRule="auto"/>
        <w:jc w:val="both"/>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5. Требования к составу сведений и функционалу Информационного ресурса</w:t>
      </w:r>
    </w:p>
    <w:tbl>
      <w:tblPr>
        <w:tblW w:w="0" w:type="auto"/>
        <w:tblInd w:w="117" w:type="dxa"/>
        <w:tblLayout w:type="fixed"/>
        <w:tblLook w:val="0000" w:firstRow="0" w:lastRow="0" w:firstColumn="0" w:lastColumn="0" w:noHBand="0" w:noVBand="0"/>
      </w:tblPr>
      <w:tblGrid>
        <w:gridCol w:w="422"/>
        <w:gridCol w:w="6889"/>
        <w:gridCol w:w="1917"/>
      </w:tblGrid>
      <w:tr w:rsidR="003D3999" w:rsidRPr="00CA456E" w14:paraId="1AC6A35F" w14:textId="77777777" w:rsidTr="008E56DB">
        <w:trPr>
          <w:trHeight w:val="819"/>
        </w:trPr>
        <w:tc>
          <w:tcPr>
            <w:tcW w:w="422" w:type="dxa"/>
            <w:tcBorders>
              <w:top w:val="single" w:sz="4" w:space="0" w:color="000000"/>
              <w:left w:val="single" w:sz="4" w:space="0" w:color="000000"/>
              <w:bottom w:val="single" w:sz="4" w:space="0" w:color="000000"/>
            </w:tcBorders>
          </w:tcPr>
          <w:p w14:paraId="501576F8" w14:textId="77777777" w:rsidR="003D3999" w:rsidRPr="00CA456E" w:rsidRDefault="003D3999" w:rsidP="008E56DB">
            <w:pPr>
              <w:spacing w:before="120" w:after="120" w:line="240" w:lineRule="auto"/>
              <w:jc w:val="both"/>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w:t>
            </w:r>
          </w:p>
        </w:tc>
        <w:tc>
          <w:tcPr>
            <w:tcW w:w="6889" w:type="dxa"/>
            <w:tcBorders>
              <w:top w:val="single" w:sz="4" w:space="0" w:color="000000"/>
              <w:left w:val="single" w:sz="4" w:space="0" w:color="000000"/>
              <w:bottom w:val="single" w:sz="4" w:space="0" w:color="000000"/>
            </w:tcBorders>
          </w:tcPr>
          <w:p w14:paraId="6281DFFC" w14:textId="77777777" w:rsidR="003D3999" w:rsidRPr="00CA456E" w:rsidRDefault="003D3999" w:rsidP="008E56DB">
            <w:pPr>
              <w:spacing w:before="120" w:after="120" w:line="240" w:lineRule="auto"/>
              <w:jc w:val="center"/>
              <w:rPr>
                <w:rFonts w:ascii="Times New Roman" w:hAnsi="Times New Roman" w:cs="Times New Roman"/>
                <w:b/>
                <w:color w:val="000000" w:themeColor="text1"/>
                <w:sz w:val="24"/>
                <w:szCs w:val="24"/>
              </w:rPr>
            </w:pPr>
            <w:r w:rsidRPr="00CA456E">
              <w:rPr>
                <w:rFonts w:ascii="Times New Roman" w:hAnsi="Times New Roman" w:cs="Times New Roman"/>
                <w:b/>
                <w:color w:val="000000" w:themeColor="text1"/>
                <w:sz w:val="24"/>
                <w:szCs w:val="24"/>
              </w:rPr>
              <w:t>Наименование</w:t>
            </w:r>
          </w:p>
        </w:tc>
        <w:tc>
          <w:tcPr>
            <w:tcW w:w="1917" w:type="dxa"/>
            <w:tcBorders>
              <w:top w:val="single" w:sz="4" w:space="0" w:color="000000"/>
              <w:left w:val="single" w:sz="4" w:space="0" w:color="000000"/>
              <w:bottom w:val="single" w:sz="4" w:space="0" w:color="000000"/>
              <w:right w:val="single" w:sz="4" w:space="0" w:color="000000"/>
            </w:tcBorders>
            <w:vAlign w:val="center"/>
          </w:tcPr>
          <w:p w14:paraId="2B7AA2DC" w14:textId="77777777" w:rsidR="003D3999" w:rsidRPr="00CA456E" w:rsidRDefault="003D3999" w:rsidP="008E56DB">
            <w:pPr>
              <w:spacing w:before="120" w:after="120" w:line="240" w:lineRule="auto"/>
              <w:jc w:val="center"/>
              <w:rPr>
                <w:rFonts w:ascii="Times New Roman" w:hAnsi="Times New Roman" w:cs="Times New Roman"/>
                <w:b/>
                <w:sz w:val="24"/>
                <w:szCs w:val="24"/>
              </w:rPr>
            </w:pPr>
            <w:r w:rsidRPr="00CA456E">
              <w:rPr>
                <w:rFonts w:ascii="Times New Roman" w:hAnsi="Times New Roman" w:cs="Times New Roman"/>
                <w:b/>
                <w:sz w:val="24"/>
                <w:szCs w:val="24"/>
              </w:rPr>
              <w:t xml:space="preserve">Количество (условная </w:t>
            </w:r>
            <w:proofErr w:type="gramStart"/>
            <w:r w:rsidRPr="00CA456E">
              <w:rPr>
                <w:rFonts w:ascii="Times New Roman" w:hAnsi="Times New Roman" w:cs="Times New Roman"/>
                <w:b/>
                <w:sz w:val="24"/>
                <w:szCs w:val="24"/>
              </w:rPr>
              <w:t>единица)*</w:t>
            </w:r>
            <w:proofErr w:type="gramEnd"/>
          </w:p>
        </w:tc>
      </w:tr>
      <w:tr w:rsidR="003D3999" w:rsidRPr="00CA456E" w14:paraId="2723C492" w14:textId="77777777" w:rsidTr="008E56DB">
        <w:trPr>
          <w:trHeight w:val="385"/>
        </w:trPr>
        <w:tc>
          <w:tcPr>
            <w:tcW w:w="422" w:type="dxa"/>
            <w:tcBorders>
              <w:top w:val="single" w:sz="4" w:space="0" w:color="000000"/>
              <w:left w:val="single" w:sz="4" w:space="0" w:color="000000"/>
              <w:bottom w:val="single" w:sz="4" w:space="0" w:color="000000"/>
            </w:tcBorders>
          </w:tcPr>
          <w:p w14:paraId="517637FF" w14:textId="77777777" w:rsidR="003D3999" w:rsidRPr="00CA456E" w:rsidRDefault="003D3999" w:rsidP="008E56DB">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1</w:t>
            </w:r>
          </w:p>
        </w:tc>
        <w:tc>
          <w:tcPr>
            <w:tcW w:w="6889" w:type="dxa"/>
            <w:tcBorders>
              <w:top w:val="single" w:sz="4" w:space="0" w:color="000000"/>
              <w:left w:val="single" w:sz="4" w:space="0" w:color="000000"/>
              <w:bottom w:val="single" w:sz="4" w:space="0" w:color="000000"/>
            </w:tcBorders>
          </w:tcPr>
          <w:p w14:paraId="3F4F0C3A" w14:textId="77777777" w:rsidR="003D3999" w:rsidRPr="00CA456E" w:rsidRDefault="003D3999" w:rsidP="008E56DB">
            <w:pPr>
              <w:spacing w:before="120" w:after="120" w:line="240" w:lineRule="auto"/>
              <w:jc w:val="both"/>
              <w:rPr>
                <w:rFonts w:ascii="Times New Roman" w:hAnsi="Times New Roman" w:cs="Times New Roman"/>
                <w:sz w:val="24"/>
                <w:szCs w:val="24"/>
              </w:rPr>
            </w:pPr>
            <w:r w:rsidRPr="00CA456E">
              <w:rPr>
                <w:rFonts w:ascii="Times New Roman" w:hAnsi="Times New Roman" w:cs="Times New Roman"/>
                <w:color w:val="000000" w:themeColor="text1"/>
                <w:sz w:val="24"/>
                <w:szCs w:val="24"/>
              </w:rPr>
              <w:t>Оказание услуг по предоставлению доступа к сетевому изданию «Информационный ресурс СПАРК» (5 доступов)</w:t>
            </w:r>
          </w:p>
        </w:tc>
        <w:tc>
          <w:tcPr>
            <w:tcW w:w="1917" w:type="dxa"/>
            <w:tcBorders>
              <w:top w:val="single" w:sz="4" w:space="0" w:color="000000"/>
              <w:left w:val="single" w:sz="4" w:space="0" w:color="000000"/>
              <w:bottom w:val="single" w:sz="4" w:space="0" w:color="000000"/>
              <w:right w:val="single" w:sz="4" w:space="0" w:color="000000"/>
            </w:tcBorders>
          </w:tcPr>
          <w:p w14:paraId="5694D7B3" w14:textId="259385A6" w:rsidR="003D3999" w:rsidRPr="00CA456E" w:rsidRDefault="003D3999" w:rsidP="008E56DB">
            <w:pPr>
              <w:spacing w:before="120" w:after="120" w:line="240" w:lineRule="auto"/>
              <w:jc w:val="center"/>
              <w:rPr>
                <w:rFonts w:ascii="Times New Roman" w:hAnsi="Times New Roman" w:cs="Times New Roman"/>
                <w:sz w:val="24"/>
                <w:szCs w:val="24"/>
                <w:lang w:val="en-US"/>
              </w:rPr>
            </w:pPr>
            <w:r w:rsidRPr="00CA456E">
              <w:rPr>
                <w:rFonts w:ascii="Times New Roman" w:hAnsi="Times New Roman" w:cs="Times New Roman"/>
                <w:sz w:val="24"/>
                <w:szCs w:val="24"/>
                <w:lang w:val="en-US"/>
              </w:rPr>
              <w:t>6</w:t>
            </w:r>
          </w:p>
        </w:tc>
      </w:tr>
    </w:tbl>
    <w:p w14:paraId="2238E703" w14:textId="77777777" w:rsidR="003D3999" w:rsidRPr="00CA456E" w:rsidRDefault="003D3999" w:rsidP="003D3999">
      <w:pPr>
        <w:spacing w:before="120" w:after="120" w:line="240"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1 условная единица = 1 месяц</w:t>
      </w:r>
    </w:p>
    <w:p w14:paraId="20E1CA04" w14:textId="77777777" w:rsidR="003D3999" w:rsidRPr="00CA456E" w:rsidRDefault="003D3999" w:rsidP="007D6871">
      <w:pPr>
        <w:jc w:val="both"/>
        <w:rPr>
          <w:rFonts w:ascii="Times New Roman" w:hAnsi="Times New Roman" w:cs="Times New Roman"/>
          <w:color w:val="000000" w:themeColor="text1"/>
          <w:sz w:val="24"/>
          <w:szCs w:val="24"/>
        </w:rPr>
      </w:pPr>
    </w:p>
    <w:p w14:paraId="0FEE11A7"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Сетевое издание Информационный ресурс СПАРК. Свидетельство о регистрации СМИ ЭЛ № ФС 77 - 67950 выдано Федеральной службой по надзору в сфере связи, информационных технологий и массовых коммуникаций (Роскомнадзор) 21.12.2016.</w:t>
      </w:r>
    </w:p>
    <w:p w14:paraId="3B27F049"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Учредитель: АО «Информационное агентство Интерфакс», главный редактор: Герасимов В.В.</w:t>
      </w:r>
    </w:p>
    <w:p w14:paraId="78F8D095"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Перечень совместимых со СПАРК интернет-браузеров:</w:t>
      </w:r>
    </w:p>
    <w:p w14:paraId="7C66E00F"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Microsoft</w:t>
      </w:r>
      <w:proofErr w:type="spellEnd"/>
      <w:r w:rsidRPr="00CA456E">
        <w:rPr>
          <w:rFonts w:ascii="Times New Roman" w:hAnsi="Times New Roman" w:cs="Times New Roman"/>
          <w:color w:val="000000" w:themeColor="text1"/>
          <w:sz w:val="24"/>
          <w:szCs w:val="24"/>
        </w:rPr>
        <w:t xml:space="preserve"> </w:t>
      </w:r>
      <w:proofErr w:type="spellStart"/>
      <w:r w:rsidRPr="00CA456E">
        <w:rPr>
          <w:rFonts w:ascii="Times New Roman" w:hAnsi="Times New Roman" w:cs="Times New Roman"/>
          <w:color w:val="000000" w:themeColor="text1"/>
          <w:sz w:val="24"/>
          <w:szCs w:val="24"/>
        </w:rPr>
        <w:t>Edge</w:t>
      </w:r>
      <w:proofErr w:type="spellEnd"/>
      <w:r w:rsidRPr="00CA456E">
        <w:rPr>
          <w:rFonts w:ascii="Times New Roman" w:hAnsi="Times New Roman" w:cs="Times New Roman"/>
          <w:color w:val="000000" w:themeColor="text1"/>
          <w:sz w:val="24"/>
          <w:szCs w:val="24"/>
        </w:rPr>
        <w:t xml:space="preserve"> версии 120 и выше;</w:t>
      </w:r>
    </w:p>
    <w:p w14:paraId="11AE8A13"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Google</w:t>
      </w:r>
      <w:proofErr w:type="spellEnd"/>
      <w:r w:rsidRPr="00CA456E">
        <w:rPr>
          <w:rFonts w:ascii="Times New Roman" w:hAnsi="Times New Roman" w:cs="Times New Roman"/>
          <w:color w:val="000000" w:themeColor="text1"/>
          <w:sz w:val="24"/>
          <w:szCs w:val="24"/>
        </w:rPr>
        <w:t xml:space="preserve"> </w:t>
      </w:r>
      <w:proofErr w:type="spellStart"/>
      <w:r w:rsidRPr="00CA456E">
        <w:rPr>
          <w:rFonts w:ascii="Times New Roman" w:hAnsi="Times New Roman" w:cs="Times New Roman"/>
          <w:color w:val="000000" w:themeColor="text1"/>
          <w:sz w:val="24"/>
          <w:szCs w:val="24"/>
        </w:rPr>
        <w:t>Chrome</w:t>
      </w:r>
      <w:proofErr w:type="spellEnd"/>
      <w:r w:rsidRPr="00CA456E">
        <w:rPr>
          <w:rFonts w:ascii="Times New Roman" w:hAnsi="Times New Roman" w:cs="Times New Roman"/>
          <w:color w:val="000000" w:themeColor="text1"/>
          <w:sz w:val="24"/>
          <w:szCs w:val="24"/>
        </w:rPr>
        <w:t xml:space="preserve"> 120 и выше;</w:t>
      </w:r>
    </w:p>
    <w:p w14:paraId="6FF3C0A8"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Яндекс.Браузер</w:t>
      </w:r>
      <w:proofErr w:type="spellEnd"/>
      <w:r w:rsidRPr="00CA456E">
        <w:rPr>
          <w:rFonts w:ascii="Times New Roman" w:hAnsi="Times New Roman" w:cs="Times New Roman"/>
          <w:color w:val="000000" w:themeColor="text1"/>
          <w:sz w:val="24"/>
          <w:szCs w:val="24"/>
        </w:rPr>
        <w:t xml:space="preserve"> 22 и выше;</w:t>
      </w:r>
    </w:p>
    <w:p w14:paraId="7532F15A"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Mozilla</w:t>
      </w:r>
      <w:proofErr w:type="spellEnd"/>
      <w:r w:rsidRPr="00CA456E">
        <w:rPr>
          <w:rFonts w:ascii="Times New Roman" w:hAnsi="Times New Roman" w:cs="Times New Roman"/>
          <w:color w:val="000000" w:themeColor="text1"/>
          <w:sz w:val="24"/>
          <w:szCs w:val="24"/>
        </w:rPr>
        <w:t xml:space="preserve"> </w:t>
      </w:r>
      <w:proofErr w:type="spellStart"/>
      <w:r w:rsidRPr="00CA456E">
        <w:rPr>
          <w:rFonts w:ascii="Times New Roman" w:hAnsi="Times New Roman" w:cs="Times New Roman"/>
          <w:color w:val="000000" w:themeColor="text1"/>
          <w:sz w:val="24"/>
          <w:szCs w:val="24"/>
        </w:rPr>
        <w:t>Firefox</w:t>
      </w:r>
      <w:proofErr w:type="spellEnd"/>
      <w:r w:rsidRPr="00CA456E">
        <w:rPr>
          <w:rFonts w:ascii="Times New Roman" w:hAnsi="Times New Roman" w:cs="Times New Roman"/>
          <w:color w:val="000000" w:themeColor="text1"/>
          <w:sz w:val="24"/>
          <w:szCs w:val="24"/>
        </w:rPr>
        <w:t xml:space="preserve"> 115 и выше;</w:t>
      </w:r>
    </w:p>
    <w:p w14:paraId="3E620182"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Safari</w:t>
      </w:r>
      <w:proofErr w:type="spellEnd"/>
      <w:r w:rsidRPr="00CA456E">
        <w:rPr>
          <w:rFonts w:ascii="Times New Roman" w:hAnsi="Times New Roman" w:cs="Times New Roman"/>
          <w:color w:val="000000" w:themeColor="text1"/>
          <w:sz w:val="24"/>
          <w:szCs w:val="24"/>
        </w:rPr>
        <w:t xml:space="preserve"> 16 и выше;</w:t>
      </w:r>
    </w:p>
    <w:p w14:paraId="50E09CC9" w14:textId="77777777" w:rsidR="00376CC4" w:rsidRPr="00CA456E" w:rsidRDefault="00376CC4" w:rsidP="00376CC4">
      <w:pPr>
        <w:pStyle w:val="a3"/>
        <w:numPr>
          <w:ilvl w:val="0"/>
          <w:numId w:val="37"/>
        </w:numPr>
        <w:spacing w:line="256" w:lineRule="auto"/>
        <w:jc w:val="both"/>
        <w:rPr>
          <w:rFonts w:ascii="Times New Roman" w:hAnsi="Times New Roman" w:cs="Times New Roman"/>
          <w:color w:val="000000" w:themeColor="text1"/>
          <w:sz w:val="24"/>
          <w:szCs w:val="24"/>
        </w:rPr>
      </w:pPr>
      <w:proofErr w:type="spellStart"/>
      <w:r w:rsidRPr="00CA456E">
        <w:rPr>
          <w:rFonts w:ascii="Times New Roman" w:hAnsi="Times New Roman" w:cs="Times New Roman"/>
          <w:color w:val="000000" w:themeColor="text1"/>
          <w:sz w:val="24"/>
          <w:szCs w:val="24"/>
        </w:rPr>
        <w:t>Opera</w:t>
      </w:r>
      <w:proofErr w:type="spellEnd"/>
      <w:r w:rsidRPr="00CA456E">
        <w:rPr>
          <w:rFonts w:ascii="Times New Roman" w:hAnsi="Times New Roman" w:cs="Times New Roman"/>
          <w:color w:val="000000" w:themeColor="text1"/>
          <w:sz w:val="24"/>
          <w:szCs w:val="24"/>
        </w:rPr>
        <w:t xml:space="preserve"> 106 и выше.</w:t>
      </w:r>
    </w:p>
    <w:p w14:paraId="53EBAC93"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Для работы со СПАРК в настройках браузера должно быть разрешено:</w:t>
      </w:r>
    </w:p>
    <w:p w14:paraId="13487047" w14:textId="77777777" w:rsidR="00376CC4" w:rsidRPr="00CA456E" w:rsidRDefault="00376CC4" w:rsidP="00376CC4">
      <w:pPr>
        <w:pStyle w:val="a3"/>
        <w:numPr>
          <w:ilvl w:val="0"/>
          <w:numId w:val="38"/>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выполнять </w:t>
      </w:r>
      <w:proofErr w:type="spellStart"/>
      <w:r w:rsidRPr="00CA456E">
        <w:rPr>
          <w:rFonts w:ascii="Times New Roman" w:hAnsi="Times New Roman" w:cs="Times New Roman"/>
          <w:color w:val="000000" w:themeColor="text1"/>
          <w:sz w:val="24"/>
          <w:szCs w:val="24"/>
        </w:rPr>
        <w:t>JavaScript</w:t>
      </w:r>
      <w:proofErr w:type="spellEnd"/>
      <w:r w:rsidRPr="00CA456E">
        <w:rPr>
          <w:rFonts w:ascii="Times New Roman" w:hAnsi="Times New Roman" w:cs="Times New Roman"/>
          <w:color w:val="000000" w:themeColor="text1"/>
          <w:sz w:val="24"/>
          <w:szCs w:val="24"/>
        </w:rPr>
        <w:t>;</w:t>
      </w:r>
    </w:p>
    <w:p w14:paraId="5D080458" w14:textId="77777777" w:rsidR="00376CC4" w:rsidRPr="00CA456E" w:rsidRDefault="00376CC4" w:rsidP="00376CC4">
      <w:pPr>
        <w:pStyle w:val="a3"/>
        <w:numPr>
          <w:ilvl w:val="0"/>
          <w:numId w:val="38"/>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lastRenderedPageBreak/>
        <w:t xml:space="preserve">принимать </w:t>
      </w:r>
      <w:proofErr w:type="spellStart"/>
      <w:r w:rsidRPr="00CA456E">
        <w:rPr>
          <w:rFonts w:ascii="Times New Roman" w:hAnsi="Times New Roman" w:cs="Times New Roman"/>
          <w:color w:val="000000" w:themeColor="text1"/>
          <w:sz w:val="24"/>
          <w:szCs w:val="24"/>
        </w:rPr>
        <w:t>cookies</w:t>
      </w:r>
      <w:proofErr w:type="spellEnd"/>
      <w:r w:rsidRPr="00CA456E">
        <w:rPr>
          <w:rFonts w:ascii="Times New Roman" w:hAnsi="Times New Roman" w:cs="Times New Roman"/>
          <w:color w:val="000000" w:themeColor="text1"/>
          <w:sz w:val="24"/>
          <w:szCs w:val="24"/>
        </w:rPr>
        <w:t>.</w:t>
      </w:r>
    </w:p>
    <w:p w14:paraId="179B98C9"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Для работы со СПАРК предоставляется комплект </w:t>
      </w:r>
      <w:proofErr w:type="spellStart"/>
      <w:r w:rsidRPr="00CA456E">
        <w:rPr>
          <w:rFonts w:ascii="Times New Roman" w:hAnsi="Times New Roman" w:cs="Times New Roman"/>
          <w:color w:val="000000" w:themeColor="text1"/>
          <w:sz w:val="24"/>
          <w:szCs w:val="24"/>
        </w:rPr>
        <w:t>аутентификационных</w:t>
      </w:r>
      <w:proofErr w:type="spellEnd"/>
      <w:r w:rsidRPr="00CA456E">
        <w:rPr>
          <w:rFonts w:ascii="Times New Roman" w:hAnsi="Times New Roman" w:cs="Times New Roman"/>
          <w:color w:val="000000" w:themeColor="text1"/>
          <w:sz w:val="24"/>
          <w:szCs w:val="24"/>
        </w:rPr>
        <w:t xml:space="preserve"> данных, который обеспечивает работу на одном Устройстве (комплекс из интернет-браузера и определяемого таким интернет-браузером стационарного или мобильного устройства, с которого осуществляется доступ к СПАРК, в том числе рабочая станция (персональный компьютер, ноутбук), телефон, планшет).</w:t>
      </w:r>
    </w:p>
    <w:p w14:paraId="47411150"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Один комплект </w:t>
      </w:r>
      <w:proofErr w:type="spellStart"/>
      <w:r w:rsidRPr="00CA456E">
        <w:rPr>
          <w:rFonts w:ascii="Times New Roman" w:hAnsi="Times New Roman" w:cs="Times New Roman"/>
          <w:color w:val="000000" w:themeColor="text1"/>
          <w:sz w:val="24"/>
          <w:szCs w:val="24"/>
        </w:rPr>
        <w:t>Аутентификационных</w:t>
      </w:r>
      <w:proofErr w:type="spellEnd"/>
      <w:r w:rsidRPr="00CA456E">
        <w:rPr>
          <w:rFonts w:ascii="Times New Roman" w:hAnsi="Times New Roman" w:cs="Times New Roman"/>
          <w:color w:val="000000" w:themeColor="text1"/>
          <w:sz w:val="24"/>
          <w:szCs w:val="24"/>
        </w:rPr>
        <w:t xml:space="preserve"> данных не может быть использован одновременно более чем на одном Устройстве.</w:t>
      </w:r>
    </w:p>
    <w:p w14:paraId="2642100B"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В случае, если в результате изменений в законодательстве Российской Федерации или в силу технических причин на стороне источника данных будет прекращено или ограничено распространение какой-либо информации, указанной в настоящем описании, редакция сетевого издания Информационный ресурс СПАРК со дня вступления в силу соответствующих изменений вправе прекратить предоставление такой информации.</w:t>
      </w:r>
    </w:p>
    <w:p w14:paraId="4F6E31A3"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Информационный ресурс СПАРК содержит сведения о юридических лицах и индивидуальных предпринимателях (ИП), зарегистрированных на территории Российской Федерации и ряда стран СНГ.</w:t>
      </w:r>
    </w:p>
    <w:p w14:paraId="4A3387F6"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Глубина информационного архива системы СПАРК превышает 15 лет, а сам архив сформирован на основе сведений, полученных из официальных источников.</w:t>
      </w:r>
    </w:p>
    <w:p w14:paraId="620F8CB4"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Данные по российским юридическим лицам включают:</w:t>
      </w:r>
    </w:p>
    <w:p w14:paraId="0995B2D4"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Регистрационные данные, включая статистические коды;</w:t>
      </w:r>
    </w:p>
    <w:p w14:paraId="4EFA35E6"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Общедоступные сведения об уплаченных налогах и сборах, о применении специального налогового режима, недоимках, штрафах и пенях по налогам и сборам;</w:t>
      </w:r>
    </w:p>
    <w:p w14:paraId="6FF28BF3"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персонале;</w:t>
      </w:r>
    </w:p>
    <w:p w14:paraId="46EFC97C"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об участниках и акционерах, дочерних и зависимых обществах, участии в фондах, некоммерческих партнерствах и объединениях;</w:t>
      </w:r>
    </w:p>
    <w:p w14:paraId="78117C93"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Сообщения и существенные факты, публикуемые в Едином федеральном реестре сведений о банкротстве (ЕФРСБ),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w:t>
      </w:r>
      <w:proofErr w:type="spellStart"/>
      <w:r w:rsidRPr="00CA456E">
        <w:rPr>
          <w:rFonts w:ascii="Times New Roman" w:hAnsi="Times New Roman" w:cs="Times New Roman"/>
          <w:color w:val="000000" w:themeColor="text1"/>
          <w:sz w:val="24"/>
          <w:szCs w:val="24"/>
        </w:rPr>
        <w:t>Федресурс</w:t>
      </w:r>
      <w:proofErr w:type="spellEnd"/>
      <w:r w:rsidRPr="00CA456E">
        <w:rPr>
          <w:rFonts w:ascii="Times New Roman" w:hAnsi="Times New Roman" w:cs="Times New Roman"/>
          <w:color w:val="000000" w:themeColor="text1"/>
          <w:sz w:val="24"/>
          <w:szCs w:val="24"/>
        </w:rPr>
        <w:t>), в системе раскрытия информации эмитентов эмиссионных ценных бумаг;</w:t>
      </w:r>
    </w:p>
    <w:p w14:paraId="51E50E22" w14:textId="08DF8D50"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Контактные данные (адрес, телефон, электронная почта, зарегистрированные на юридическое лицо домены в зонах </w:t>
      </w:r>
      <w:r w:rsidRPr="00CA456E">
        <w:rPr>
          <w:rFonts w:ascii="Times New Roman" w:hAnsi="Times New Roman" w:cs="Times New Roman"/>
          <w:color w:val="000000" w:themeColor="text1"/>
          <w:sz w:val="24"/>
          <w:szCs w:val="24"/>
          <w:lang w:val="en-US"/>
        </w:rPr>
        <w:t>RU</w:t>
      </w:r>
      <w:r w:rsidRPr="00CA456E">
        <w:rPr>
          <w:rFonts w:ascii="Times New Roman" w:hAnsi="Times New Roman" w:cs="Times New Roman"/>
          <w:color w:val="000000" w:themeColor="text1"/>
          <w:sz w:val="24"/>
          <w:szCs w:val="24"/>
        </w:rPr>
        <w:t xml:space="preserve">, </w:t>
      </w:r>
      <w:r w:rsidRPr="00CA456E">
        <w:rPr>
          <w:rFonts w:ascii="Times New Roman" w:hAnsi="Times New Roman" w:cs="Times New Roman"/>
          <w:color w:val="000000" w:themeColor="text1"/>
          <w:sz w:val="24"/>
          <w:szCs w:val="24"/>
          <w:lang w:val="en-US"/>
        </w:rPr>
        <w:t>SU</w:t>
      </w:r>
      <w:r w:rsidRPr="00CA456E">
        <w:rPr>
          <w:rFonts w:ascii="Times New Roman" w:hAnsi="Times New Roman" w:cs="Times New Roman"/>
          <w:color w:val="000000" w:themeColor="text1"/>
          <w:sz w:val="24"/>
          <w:szCs w:val="24"/>
        </w:rPr>
        <w:t>, РФ);</w:t>
      </w:r>
    </w:p>
    <w:p w14:paraId="5B5C1C92" w14:textId="033CDBFB"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вхождении юридического лица в реестры и списки, определяющие особый статус юридического лица (реестр недобросовестных поставщиков, единый реестр субъектов малого и среднего предпринимательства и т.д.);</w:t>
      </w:r>
    </w:p>
    <w:p w14:paraId="77C0EE4B"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Полученные лицензии, сертификаты и декларации, уведомления о начале деятельности;</w:t>
      </w:r>
    </w:p>
    <w:p w14:paraId="3F82AA9B"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правах на объекты интеллектуальной собственности;</w:t>
      </w:r>
    </w:p>
    <w:p w14:paraId="12D7E3CA"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об участии в государственных закупках;</w:t>
      </w:r>
    </w:p>
    <w:p w14:paraId="7F4A69F0"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Решения, постановления и определения арбитражных судов;</w:t>
      </w:r>
    </w:p>
    <w:p w14:paraId="64CF06CF"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Исполнительные производства;</w:t>
      </w:r>
    </w:p>
    <w:p w14:paraId="75451F51"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Опубликованную бухгалтерскую отчетность и архив отчетности с 1999 года более чем по 3,6 млн. юридических лиц;</w:t>
      </w:r>
    </w:p>
    <w:p w14:paraId="77CF6ABF" w14:textId="77777777" w:rsidR="00376CC4" w:rsidRPr="00CA456E" w:rsidRDefault="00376CC4" w:rsidP="00376CC4">
      <w:pPr>
        <w:pStyle w:val="a3"/>
        <w:numPr>
          <w:ilvl w:val="0"/>
          <w:numId w:val="39"/>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lastRenderedPageBreak/>
        <w:t xml:space="preserve">Историю изменений наименования, адреса, величины уставного капитала, руководителя, участников и акционеров.  </w:t>
      </w:r>
    </w:p>
    <w:p w14:paraId="6B3F1932"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Дополнительно к вышеуказанным сведениям, по юридическим лицам – эмитентам ценных бумаг информационный ресурс содержит данные, подлежащие обязательному раскрытию. Данные размещены в структурированном виде в соответствующих разделах информационного ресурса без переадресации на вложенные файлы:</w:t>
      </w:r>
    </w:p>
    <w:p w14:paraId="6EB67E16" w14:textId="77777777" w:rsidR="00376CC4" w:rsidRPr="00CA456E" w:rsidRDefault="00376CC4" w:rsidP="00376CC4">
      <w:pPr>
        <w:pStyle w:val="a3"/>
        <w:numPr>
          <w:ilvl w:val="0"/>
          <w:numId w:val="40"/>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Информацию относительно органов управления и лиц, входящих в состав органов контроля за финансово-хозяйственной деятельностью компании (совет директоров, исполнительный орган, орган контроля) с архивом с 1999 года;</w:t>
      </w:r>
    </w:p>
    <w:p w14:paraId="6A0FF39F" w14:textId="77777777" w:rsidR="00376CC4" w:rsidRPr="00CA456E" w:rsidRDefault="00376CC4" w:rsidP="00376CC4">
      <w:pPr>
        <w:pStyle w:val="a3"/>
        <w:numPr>
          <w:ilvl w:val="0"/>
          <w:numId w:val="40"/>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Данные относительно деятельности компании, такие как описание деятельности, планов и обязательств эмитента, информация о конкурентах, факторы и условия, определяющие значения для конкурентных позиций работающих на рынке компаний, история создания и развития;</w:t>
      </w:r>
    </w:p>
    <w:p w14:paraId="01020EAE" w14:textId="77777777" w:rsidR="00376CC4" w:rsidRPr="00CA456E" w:rsidRDefault="00376CC4" w:rsidP="00376CC4">
      <w:pPr>
        <w:pStyle w:val="a3"/>
        <w:numPr>
          <w:ilvl w:val="0"/>
          <w:numId w:val="40"/>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Финансовую информацию, включающую в себя ежеквартальную бухгалтерскую отчетность, консолидированные отчеты (при наличии). </w:t>
      </w:r>
    </w:p>
    <w:p w14:paraId="46F9DC9D" w14:textId="77777777" w:rsidR="00376CC4" w:rsidRPr="00CA456E" w:rsidRDefault="00376CC4" w:rsidP="00376CC4">
      <w:pPr>
        <w:pStyle w:val="a3"/>
        <w:numPr>
          <w:ilvl w:val="0"/>
          <w:numId w:val="40"/>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Ежеквартальные отчеты эмитента, списки аффилированных лиц и прочие документы компании с архивом глубиной более 15 лет.</w:t>
      </w:r>
    </w:p>
    <w:p w14:paraId="30FA64A3"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Данные по российским индивидуальным предпринимателям включают:</w:t>
      </w:r>
    </w:p>
    <w:p w14:paraId="10F38720" w14:textId="77777777" w:rsidR="00376CC4" w:rsidRPr="00CA456E" w:rsidRDefault="00376CC4" w:rsidP="00376CC4">
      <w:pPr>
        <w:pStyle w:val="a3"/>
        <w:numPr>
          <w:ilvl w:val="0"/>
          <w:numId w:val="41"/>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Регистрационные коды ОГРНИП, ИНН, ОКАТО и ОКТМО;</w:t>
      </w:r>
    </w:p>
    <w:p w14:paraId="69939C28" w14:textId="77777777" w:rsidR="00376CC4" w:rsidRPr="00CA456E" w:rsidRDefault="00376CC4" w:rsidP="00376CC4">
      <w:pPr>
        <w:pStyle w:val="a3"/>
        <w:numPr>
          <w:ilvl w:val="0"/>
          <w:numId w:val="41"/>
        </w:numPr>
        <w:spacing w:line="256" w:lineRule="auto"/>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Информацию о несостоятельности (банкротстве), об участии в торговых процедурах, заключенных государственных контрактах, вхождение в реестры, арбитражные дела;</w:t>
      </w:r>
    </w:p>
    <w:p w14:paraId="5EDA99F3" w14:textId="77777777" w:rsidR="00376CC4" w:rsidRPr="00CA456E" w:rsidRDefault="00376CC4" w:rsidP="00376CC4">
      <w:pPr>
        <w:pStyle w:val="a3"/>
        <w:numPr>
          <w:ilvl w:val="0"/>
          <w:numId w:val="41"/>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правах на объекты интеллектуальной собственности;</w:t>
      </w:r>
    </w:p>
    <w:p w14:paraId="0350DCF1" w14:textId="77777777" w:rsidR="00376CC4" w:rsidRPr="00CA456E" w:rsidRDefault="00376CC4" w:rsidP="00376CC4">
      <w:pPr>
        <w:pStyle w:val="a3"/>
        <w:numPr>
          <w:ilvl w:val="0"/>
          <w:numId w:val="41"/>
        </w:numPr>
        <w:spacing w:line="256" w:lineRule="auto"/>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доменных именах, зарегистрированных на частных лиц, ведущих на сайты, на которых встречается упоминание реквизитов ИП.</w:t>
      </w:r>
    </w:p>
    <w:p w14:paraId="2C0343DB"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Информационный ресурс включает сведения из Реестра аккредитованных филиалов и представительств иностранных компаний (РАФП).</w:t>
      </w:r>
    </w:p>
    <w:p w14:paraId="34EE024F"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Кроме вышеуказанного, информационный ресурс содержит:</w:t>
      </w:r>
    </w:p>
    <w:p w14:paraId="29DB4E71" w14:textId="77777777" w:rsidR="00376CC4" w:rsidRPr="00CA456E" w:rsidRDefault="00376CC4" w:rsidP="00376CC4">
      <w:pPr>
        <w:pStyle w:val="a3"/>
        <w:numPr>
          <w:ilvl w:val="0"/>
          <w:numId w:val="42"/>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официально публикуемые сведения о делах, рассматриваемых в судах общей юрисдикции, начиная с 2015 года;</w:t>
      </w:r>
    </w:p>
    <w:p w14:paraId="5D5D124D" w14:textId="77777777" w:rsidR="00376CC4" w:rsidRPr="00CA456E" w:rsidRDefault="00376CC4" w:rsidP="00376CC4">
      <w:pPr>
        <w:pStyle w:val="a3"/>
        <w:numPr>
          <w:ilvl w:val="0"/>
          <w:numId w:val="42"/>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сведения о процедурах внесудебного банкротства физических лиц; </w:t>
      </w:r>
    </w:p>
    <w:p w14:paraId="5693F83A" w14:textId="77777777" w:rsidR="00376CC4" w:rsidRPr="00CA456E" w:rsidRDefault="00376CC4" w:rsidP="00376CC4">
      <w:pPr>
        <w:pStyle w:val="a3"/>
        <w:numPr>
          <w:ilvl w:val="0"/>
          <w:numId w:val="42"/>
        </w:numPr>
        <w:spacing w:line="256" w:lineRule="auto"/>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сведения о платежной дисциплине юридических лиц и индивидуальных предпринимателей. Данные отражают средний срок исполнения финансовых обязательств, среднее значение просрочки в днях, количество платежей и их сумму, информацию о задержке платежей в зависимости от отрасли;</w:t>
      </w:r>
    </w:p>
    <w:p w14:paraId="05A6A443" w14:textId="77777777" w:rsidR="00376CC4" w:rsidRPr="00CA456E" w:rsidRDefault="00376CC4" w:rsidP="00376CC4">
      <w:pPr>
        <w:pStyle w:val="a3"/>
        <w:numPr>
          <w:ilvl w:val="0"/>
          <w:numId w:val="42"/>
        </w:numPr>
        <w:spacing w:line="256" w:lineRule="auto"/>
        <w:jc w:val="both"/>
        <w:rPr>
          <w:rFonts w:ascii="Times New Roman" w:hAnsi="Times New Roman" w:cs="Times New Roman"/>
          <w:sz w:val="24"/>
          <w:szCs w:val="24"/>
        </w:rPr>
      </w:pPr>
      <w:r w:rsidRPr="00CA456E">
        <w:rPr>
          <w:rFonts w:ascii="Times New Roman" w:hAnsi="Times New Roman" w:cs="Times New Roman"/>
          <w:color w:val="000000" w:themeColor="text1"/>
          <w:sz w:val="24"/>
          <w:szCs w:val="24"/>
        </w:rPr>
        <w:t>сведения о товарных знаках, заявках на товарные знаки, выданных патентах на изобретения, полезные модели, промышленные образцы, наименования мест происхождения товара, базы данных, топологии интегральных микросхем, программы для ЭВМ, изобретения, формулы заявок на российские изобретения, включая архив с 2010 года. По каждому объекту интеллектуальной собственности представлены описание и информация по изменениям: смена правообладателя, адреса для переписки, продление срока действия или внесение иных изменений;</w:t>
      </w:r>
    </w:p>
    <w:p w14:paraId="25BAECD9"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Функциональные возможности и аналитические инструменты информационного ресурса</w:t>
      </w:r>
    </w:p>
    <w:p w14:paraId="0F1D15CE"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lastRenderedPageBreak/>
        <w:t>Данные по юридическим лицам, индивидуальным предпринимателям, арбитражным делам, государственным закупкам, телефонным номерам, доменным именам, адресам электронной почты, объектам интеллектуальной собственности структурированы в форме карточки (досье) с тематическими разделами, с системой навигации и перекрестными ссылками.</w:t>
      </w:r>
    </w:p>
    <w:p w14:paraId="69DA328F"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В карточках арбитражных дел указываются даты предстоящих событий по делу, с возможностью переноса даты в календарь в формате </w:t>
      </w:r>
      <w:r w:rsidRPr="00CA456E">
        <w:rPr>
          <w:rFonts w:ascii="Times New Roman" w:hAnsi="Times New Roman" w:cs="Times New Roman"/>
          <w:sz w:val="24"/>
          <w:szCs w:val="24"/>
          <w:lang w:val="en-US"/>
        </w:rPr>
        <w:t>ICS</w:t>
      </w:r>
      <w:r w:rsidRPr="00CA456E">
        <w:rPr>
          <w:rFonts w:ascii="Times New Roman" w:hAnsi="Times New Roman" w:cs="Times New Roman"/>
          <w:sz w:val="24"/>
          <w:szCs w:val="24"/>
        </w:rPr>
        <w:t xml:space="preserve">. </w:t>
      </w:r>
    </w:p>
    <w:p w14:paraId="72D29706"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карточках арбитражного дела о банкротстве выделены должник, арбитражный управляющий, лица, привлеченные к субсидиарной ответственности, даты введения отдельных процедур.</w:t>
      </w:r>
    </w:p>
    <w:p w14:paraId="13F8C3C8"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карточках юридических лиц доступен поиск по делам судов общей юрисдикции, с определением вероятности соответствия участников дела данным из карточки юридического лица.</w:t>
      </w:r>
    </w:p>
    <w:p w14:paraId="497B9A36"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Аналитические инструменты в системе позволяют автоматически выявлять типовые признаки рисков, признаки ведения финансово – хозяйственной деятельности, определять структуру собственников (по общедоступным данным).</w:t>
      </w:r>
    </w:p>
    <w:p w14:paraId="25D7D931"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В карточках юридических и физических лиц представлен анализ структуры собственников и дочерних компаний (по общедоступным данным). Раздел содержит графическое и табличное представление структуры собственников анализируемого объекта и структуры прямого и косвенного участия анализируемого объекта в уставных капиталах других компаний. По каждому связанному лицу указывается доля прямого участия в уставном капитале компании, находящейся на предшествующем уровне в иерархической цепочке.</w:t>
      </w:r>
    </w:p>
    <w:p w14:paraId="64B402E4"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Для структуры собственников определяется полная доля, которая включает доли прямого и косвенного участия конкретного связанного физического или юридического лица в анализируемой компании, вычисленные аналитически, по информации о всех долях по всей цепочке совладельцев. </w:t>
      </w:r>
    </w:p>
    <w:p w14:paraId="68DFD9B7"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 xml:space="preserve">Для структуры прямого и косвенное участия в уставном капитале определяется полная доля, которая включает доли прямого и косвенного участия исследуемой компании или физического лица в уставных капиталах конкретных связанных юридических лиц, вычисленные аналитически, по информации о всех долях по всей цепочке совладельцев. </w:t>
      </w:r>
    </w:p>
    <w:p w14:paraId="6EB0291B"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В случае, если доля точно не известна, указывается диапазон, в котором она находится.</w:t>
      </w:r>
    </w:p>
    <w:p w14:paraId="7725D2A9" w14:textId="77777777" w:rsidR="00376CC4" w:rsidRPr="00CA456E" w:rsidRDefault="00376CC4" w:rsidP="00376CC4">
      <w:pPr>
        <w:jc w:val="both"/>
        <w:rPr>
          <w:rFonts w:ascii="Times New Roman" w:hAnsi="Times New Roman" w:cs="Times New Roman"/>
          <w:color w:val="000000" w:themeColor="text1"/>
          <w:sz w:val="24"/>
          <w:szCs w:val="24"/>
        </w:rPr>
      </w:pPr>
      <w:r w:rsidRPr="00CA456E">
        <w:rPr>
          <w:rFonts w:ascii="Times New Roman" w:hAnsi="Times New Roman" w:cs="Times New Roman"/>
          <w:color w:val="000000" w:themeColor="text1"/>
          <w:sz w:val="24"/>
          <w:szCs w:val="24"/>
        </w:rPr>
        <w:t>Анализ производится на основе открытой информации, без учета погрешности, появляющейся из-за временной разницы в данных источников.</w:t>
      </w:r>
    </w:p>
    <w:p w14:paraId="010FA64B"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карточках компаний, производящих закупки в соответствии с 44-ФЗ и 223-ФЗ доступен текстовый поиск по предмету закупки и наименованию поставщика.</w:t>
      </w:r>
    </w:p>
    <w:p w14:paraId="506B3954"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карточках юридических лиц содержится блок с анализом финансово-экономической деятельности компании. Блок включает агрегированную финансовую отчётность, графики, отражающие структуру и динамику ключевых показателей деятельности компании, рассчитанные на основе отчетности коэффициенты. Финансовый анализ включает автоматически генерируемые текстовые выводы на основе аналитических показателей.</w:t>
      </w:r>
    </w:p>
    <w:p w14:paraId="3C831A31"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Финансовый анализ включает таблицу с расчетом налоговой нагрузки и с возможностью сопоставления с аналогами по отрасли.</w:t>
      </w:r>
    </w:p>
    <w:p w14:paraId="0C90A478"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lastRenderedPageBreak/>
        <w:t xml:space="preserve">Финансовые показатели из 1, 2, 4 форм бухгалтерской отчетности и рассчитанные на их основании финансовые коэффициенты можно выводить на график в любых сочетаниях не более чем из пяти показателей, сохранять выбранные сочетания в системе.  </w:t>
      </w:r>
    </w:p>
    <w:p w14:paraId="24023AD4"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Данные о юридических или физических лицах можно выгружать из Информационного ресурса в виде стандартных и настраиваемых отчетов.</w:t>
      </w:r>
    </w:p>
    <w:p w14:paraId="0497A971"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Адрес регистрации и места деятельности российских юридических лиц графически отображаются на карте.</w:t>
      </w:r>
    </w:p>
    <w:p w14:paraId="03AA24A7"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Публикации в СМИ</w:t>
      </w:r>
    </w:p>
    <w:p w14:paraId="314CC3CE"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карточках компаний и физических лиц доступен раздел Публикации в СМИ, включающий в себя результаты поиска по наименованию компании или ее руководителю из более чем 75000 открытых источников сети Интернет и СМИ, в том числе закрытых новостных лент агентства «Интерфакс».</w:t>
      </w:r>
    </w:p>
    <w:p w14:paraId="690084F5"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В разделе отражается график изменения числа публикаций, отдельно показано число рисковых публикаций. Также в разделе размещены риск-факторы и деловые темы, обнаруженные за рассматриваемый период, и топ наиболее заметных публикаций за рассматриваемый период. Для компаний, у которых рассчитан индекс репутационного риска (ИРР), отображается график его изменения. ИРР отражает количество и влиятельность публикаций о компании, содержащих риск-факторы. </w:t>
      </w:r>
    </w:p>
    <w:p w14:paraId="2B15EE58"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Поисковые возможности системы</w:t>
      </w:r>
    </w:p>
    <w:p w14:paraId="036564FD"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возможность поиска юридических лиц и индивидуальных предпринимателей через единую поисковую строку по реквизитам юридических лиц и индивидуальных предпринимателей, контактным данным, номерам арбитражных дел, исполнительных документов, государственных контрактов, уведомлений о возникновении залога.</w:t>
      </w:r>
    </w:p>
    <w:p w14:paraId="63DFE82B"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При поиске по номеру документа в результатах доступна ссылка, по которой открывается либо сам документ, либо его карточка. </w:t>
      </w:r>
    </w:p>
    <w:p w14:paraId="21E74A0E"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Регламентные проверки</w:t>
      </w:r>
    </w:p>
    <w:p w14:paraId="4110C198"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позволяет автоматизировать проверку юридических лиц и индивидуальных предпринимателей.</w:t>
      </w:r>
    </w:p>
    <w:p w14:paraId="3ADFBB23"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В сервисе доступны следующие возможности:</w:t>
      </w:r>
    </w:p>
    <w:p w14:paraId="341AFC2A" w14:textId="77777777" w:rsidR="00376CC4" w:rsidRPr="00CA456E" w:rsidRDefault="00376CC4" w:rsidP="00376CC4">
      <w:pPr>
        <w:numPr>
          <w:ilvl w:val="0"/>
          <w:numId w:val="43"/>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автоматические проверки лиц по основным факторам риска;</w:t>
      </w:r>
    </w:p>
    <w:p w14:paraId="0A48B7EB" w14:textId="77777777" w:rsidR="00376CC4" w:rsidRPr="00CA456E" w:rsidRDefault="00376CC4" w:rsidP="00376CC4">
      <w:pPr>
        <w:numPr>
          <w:ilvl w:val="0"/>
          <w:numId w:val="43"/>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ввод комментариев к проверке; </w:t>
      </w:r>
    </w:p>
    <w:p w14:paraId="22C471FD" w14:textId="77777777" w:rsidR="00376CC4" w:rsidRPr="00CA456E" w:rsidRDefault="00376CC4" w:rsidP="00376CC4">
      <w:pPr>
        <w:numPr>
          <w:ilvl w:val="0"/>
          <w:numId w:val="43"/>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сохранение архива проведенных проверок.</w:t>
      </w:r>
    </w:p>
    <w:p w14:paraId="6555B28D"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производит проверку по пользовательским спискам, при этом есть возможность проверять не только сами компании, входящие в негативный список, но и учитывать связи через общих совладельцев и руководителей. </w:t>
      </w:r>
    </w:p>
    <w:p w14:paraId="27BA81B0"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Функционал по работе со списками</w:t>
      </w:r>
    </w:p>
    <w:p w14:paraId="390E0DA3"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предоставляет возможность создания неограниченного количества пользовательских списков, которые могут состоять из юридических или </w:t>
      </w:r>
      <w:r w:rsidRPr="00CA456E">
        <w:rPr>
          <w:rFonts w:ascii="Times New Roman" w:hAnsi="Times New Roman" w:cs="Times New Roman"/>
          <w:sz w:val="24"/>
          <w:szCs w:val="24"/>
        </w:rPr>
        <w:lastRenderedPageBreak/>
        <w:t>физических лиц, а также из арбитражных дел. Списки не имеют ограничений на количество записей в нем.</w:t>
      </w:r>
    </w:p>
    <w:p w14:paraId="6B2DF1BE"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По списку физических лиц можно сформировать отчет об участии физического лица в качестве руководителя и/или совладельца, регистрации в виде ИП, главы КФХ.</w:t>
      </w:r>
    </w:p>
    <w:p w14:paraId="5C9FE375"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Реализована возможность автоматической загрузки собственных пользовательских списков юридических лиц по наборам кодов (ИНН, ОГРН), физических лиц по ИНН, арбитражных дел по номеру дела.</w:t>
      </w:r>
    </w:p>
    <w:p w14:paraId="1BBB3505"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Мониторинг</w:t>
      </w:r>
    </w:p>
    <w:p w14:paraId="77EDB6B0"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позволяет настраивать ежедневный мониторинг изменений в юридических и физических лицах, включенных в пользовательские списки. Мониторинг отслеживает:</w:t>
      </w:r>
    </w:p>
    <w:p w14:paraId="75866EC7"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Рисковые факторы – начало процедур банкротства, ликвидации, выявление факта дисквалификации руководителя, недостоверности сведений в ЕГРЮЛ, включения компании или ИП в негативный реестр; </w:t>
      </w:r>
    </w:p>
    <w:p w14:paraId="4154B769"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Изменения в структуре участников, структуре зависимых и дочерних юридических лиц; </w:t>
      </w:r>
    </w:p>
    <w:p w14:paraId="6A0D1F5E"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Изменения в регистрационных данных; </w:t>
      </w:r>
    </w:p>
    <w:p w14:paraId="14794C64"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Появление новой информации об участии лица в торговых процедурах, о заключении с ним государственных контрактов; </w:t>
      </w:r>
    </w:p>
    <w:p w14:paraId="0C7459BE"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Изменения по арбитражным делам; </w:t>
      </w:r>
    </w:p>
    <w:p w14:paraId="66A39773"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Появление физического лица в качестве руководителя нового или существующего юридического лица. </w:t>
      </w:r>
    </w:p>
    <w:p w14:paraId="2CF61748"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позволяет просматривать события мониторинга в виде ленты событий, а также возможность автоматического оповещения на электронную почту. Просмотр событий в интерфейсе включает возможность фильтрации результата работы мониторинга по критериям: регистрационные данные, арбитражные дела, исполнительные производства, рисковые факторы, корпоративные события, государственные контракты, события повышенного риска, лизинг, залоги.</w:t>
      </w:r>
    </w:p>
    <w:p w14:paraId="17628E83"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содержит </w:t>
      </w:r>
      <w:proofErr w:type="spellStart"/>
      <w:r w:rsidRPr="00CA456E">
        <w:rPr>
          <w:rFonts w:ascii="Times New Roman" w:hAnsi="Times New Roman" w:cs="Times New Roman"/>
          <w:sz w:val="24"/>
          <w:szCs w:val="24"/>
        </w:rPr>
        <w:t>скоринговые</w:t>
      </w:r>
      <w:proofErr w:type="spellEnd"/>
      <w:r w:rsidRPr="00CA456E">
        <w:rPr>
          <w:rFonts w:ascii="Times New Roman" w:hAnsi="Times New Roman" w:cs="Times New Roman"/>
          <w:sz w:val="24"/>
          <w:szCs w:val="24"/>
        </w:rPr>
        <w:t xml:space="preserve"> оценки: </w:t>
      </w:r>
    </w:p>
    <w:p w14:paraId="3B020764"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Сводный индикатор риска - совокупная оценка надежности компании, рассчитываемая на основании публично доступной информации о деятельности юридического лица;</w:t>
      </w:r>
    </w:p>
    <w:p w14:paraId="57E24BF6"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Индекс должной осмотрительности – Скоринг, показывающий вероятность того, что компания является «фирмой-однодневкой»;</w:t>
      </w:r>
    </w:p>
    <w:p w14:paraId="1F8904E5"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Индекс финансового риска – Вероятностная оценка неплатежеспособности компании;</w:t>
      </w:r>
    </w:p>
    <w:p w14:paraId="668D8793"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Индекс платежной дисциплины – Показатель, учитывающий своевременность оплаты компанией счетов;</w:t>
      </w:r>
    </w:p>
    <w:p w14:paraId="5E97100E"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Кредитный лимит - потенциально приемлемая сумма для авансирования компании.</w:t>
      </w:r>
    </w:p>
    <w:p w14:paraId="6679874A"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Функционал выборок</w:t>
      </w:r>
    </w:p>
    <w:p w14:paraId="5F4809BB"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предоставляет возможность отбора юридических или физических лиц по определенным пользователем критериям, в том числе: </w:t>
      </w:r>
    </w:p>
    <w:p w14:paraId="69AA41B1"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lastRenderedPageBreak/>
        <w:t>Регистрационные данные компании - дата регистрации, возраст компании, дата ликвидации (для недействующих юридических лиц), величина уставного капитала, статус, организационно-правовая форма, форма собственности, специальный налоговый режим;</w:t>
      </w:r>
    </w:p>
    <w:p w14:paraId="43A71FAF"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Совладельцы – юридические или физические лица, с отбором по максимальным и минимальным долям, странам;</w:t>
      </w:r>
    </w:p>
    <w:p w14:paraId="7D774421"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Регион регистрации, деятельности компании;</w:t>
      </w:r>
    </w:p>
    <w:p w14:paraId="637D91BC"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Вид деятельности компании;</w:t>
      </w:r>
    </w:p>
    <w:p w14:paraId="634CBAED"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Среднесписочная численность сотрудников;</w:t>
      </w:r>
    </w:p>
    <w:p w14:paraId="11AC09F1"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Включение компании в негативные реестры, значение </w:t>
      </w:r>
      <w:proofErr w:type="spellStart"/>
      <w:r w:rsidRPr="00CA456E">
        <w:rPr>
          <w:rFonts w:ascii="Times New Roman" w:hAnsi="Times New Roman" w:cs="Times New Roman"/>
          <w:sz w:val="24"/>
          <w:szCs w:val="24"/>
        </w:rPr>
        <w:t>скоринговых</w:t>
      </w:r>
      <w:proofErr w:type="spellEnd"/>
      <w:r w:rsidRPr="00CA456E">
        <w:rPr>
          <w:rFonts w:ascii="Times New Roman" w:hAnsi="Times New Roman" w:cs="Times New Roman"/>
          <w:sz w:val="24"/>
          <w:szCs w:val="24"/>
        </w:rPr>
        <w:t xml:space="preserve"> показателей;</w:t>
      </w:r>
    </w:p>
    <w:p w14:paraId="10060EFD"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Наличие контактных данных (телефон, электронная почта, сайт);</w:t>
      </w:r>
    </w:p>
    <w:p w14:paraId="5379A85F"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Наличие залогов, лизинговых договоров;</w:t>
      </w:r>
    </w:p>
    <w:p w14:paraId="7D3D21A5"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Финансовые коэффициенты (ликвидность, платежеспособность, деловая активность, рентабельность);</w:t>
      </w:r>
    </w:p>
    <w:p w14:paraId="2D40AEAE"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Показатели из бухгалтерской отчетности (формы 1,2,4,6). Для показателей из бухгалтерской отчетности реализованы параметры подбора компаний по абсолютному значению на конкретный период, по изменению значения относительно предыдущего периода;</w:t>
      </w:r>
    </w:p>
    <w:p w14:paraId="257A06E1" w14:textId="77777777" w:rsidR="00376CC4" w:rsidRPr="00CA456E" w:rsidRDefault="00376CC4" w:rsidP="00376CC4">
      <w:pPr>
        <w:pStyle w:val="a3"/>
        <w:numPr>
          <w:ilvl w:val="0"/>
          <w:numId w:val="45"/>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Уплаченные налоги и сборы.</w:t>
      </w:r>
    </w:p>
    <w:p w14:paraId="5566AC05"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возможность построения по отобранным юридическим лицам отчета, в который можно включить как показатели, которые использовались в качестве параметров, так и добавить дополнительные сведения в виде: краткого и полного наименования, адреса, руководителя и его должности, контактных сведений, информации о совладельцах и регистрационных кодов.</w:t>
      </w:r>
    </w:p>
    <w:p w14:paraId="5EE22431"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возможность:</w:t>
      </w:r>
    </w:p>
    <w:p w14:paraId="2493469E"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предварительно просматривать результирующую выгрузку, </w:t>
      </w:r>
    </w:p>
    <w:p w14:paraId="4108D492"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ранжировать компании в отчете по показателю, </w:t>
      </w:r>
    </w:p>
    <w:p w14:paraId="0ACFAF39"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сопоставлять графики изменения любого финансового показателя, используемого в выборке, </w:t>
      </w:r>
    </w:p>
    <w:p w14:paraId="5C81CA70"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сохранять настроенные параметры подбора компаний или индивидуальных предпринимателей, </w:t>
      </w:r>
    </w:p>
    <w:p w14:paraId="7A401562"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сохранять историю ранее произведенных выборок.</w:t>
      </w:r>
    </w:p>
    <w:p w14:paraId="0781439F"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позволяет формировать по построенной выборке статистическую панель. Панель позволяет выбрать для анализа финансовый показатель (выручка, активы, чистая прибыль, рентабельность и др.). По значениям выбранного показателя у отобранных компаний определяются основные статистические характеристики выборки (среднее значение, медиана, квартили). Отражается распределение отобранных компаний по диапазонам значений выбранного показателя и регионам, отраслям (видам деятельности); диапазонам численности сотрудников. </w:t>
      </w:r>
    </w:p>
    <w:p w14:paraId="325127BB"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Информационный ресурс предоставляет возможность подбора арбитражных дел по определенным пользователем критериям, в том числе: </w:t>
      </w:r>
    </w:p>
    <w:p w14:paraId="6E6E05D3"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категория арбитражного дела;</w:t>
      </w:r>
    </w:p>
    <w:p w14:paraId="0DE26824"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нормы права, упоминаемы в тексте решения по делу</w:t>
      </w:r>
      <w:r w:rsidRPr="00CA456E">
        <w:rPr>
          <w:rFonts w:ascii="Times New Roman" w:hAnsi="Times New Roman" w:cs="Times New Roman"/>
          <w:color w:val="000000" w:themeColor="text1"/>
          <w:sz w:val="24"/>
          <w:szCs w:val="24"/>
        </w:rPr>
        <w:t>;</w:t>
      </w:r>
    </w:p>
    <w:p w14:paraId="41C1E38D"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участники дела, их представители</w:t>
      </w:r>
      <w:r w:rsidRPr="00CA456E">
        <w:rPr>
          <w:rFonts w:ascii="Times New Roman" w:hAnsi="Times New Roman" w:cs="Times New Roman"/>
          <w:color w:val="000000" w:themeColor="text1"/>
          <w:sz w:val="24"/>
          <w:szCs w:val="24"/>
        </w:rPr>
        <w:t>;</w:t>
      </w:r>
    </w:p>
    <w:p w14:paraId="46437416"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сумма исковых требований, сумма удовлетворенных судом требований</w:t>
      </w:r>
      <w:r w:rsidRPr="00CA456E">
        <w:rPr>
          <w:rFonts w:ascii="Times New Roman" w:hAnsi="Times New Roman" w:cs="Times New Roman"/>
          <w:color w:val="000000" w:themeColor="text1"/>
          <w:sz w:val="24"/>
          <w:szCs w:val="24"/>
        </w:rPr>
        <w:t>;</w:t>
      </w:r>
    </w:p>
    <w:p w14:paraId="24C93DFF" w14:textId="77777777" w:rsidR="00376CC4" w:rsidRPr="00CA456E" w:rsidRDefault="00376CC4" w:rsidP="00376CC4">
      <w:pPr>
        <w:pStyle w:val="a3"/>
        <w:numPr>
          <w:ilvl w:val="0"/>
          <w:numId w:val="44"/>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lastRenderedPageBreak/>
        <w:t>даты иска, принятия решения по делу.</w:t>
      </w:r>
    </w:p>
    <w:p w14:paraId="575C167C"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возможность построения по отобранным арбитражным делам отчета, в который можно включить как показатели, которые использовались в качестве параметров, так и добавить дополнительные сведения в виде: номера дела, сути иска, резолютивной части из решения по делу.</w:t>
      </w:r>
    </w:p>
    <w:p w14:paraId="02D76B64"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позволяет отслеживать факт появления новых дел по определенным пользователем критериям.</w:t>
      </w:r>
    </w:p>
    <w:p w14:paraId="2B395C4C" w14:textId="29CDFA8B"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Функция поиска взаимосвязей</w:t>
      </w:r>
    </w:p>
    <w:p w14:paraId="529686FB"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возможность визуализации связей любого юридического лица в виде связанного графа. Визуализация поддерживает возможность добавления пользовательских объектов и пользовательских связей, сохранение уже построенных схем (графов) визуализации, экспорт результатов визуализации связей в формат PDF или в пользовательский список.</w:t>
      </w:r>
    </w:p>
    <w:p w14:paraId="73C52DF0"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 xml:space="preserve">В Информационном ресурсе есть функция автоматического поиска взаимосвязей между любыми физическими и юридическими лицами, списками физических и юридических лиц. Ограничение на величину списка для поиска взаимосвязей 20000 объектов. Поиск связей учитывает следующие типы взаимосвязей: </w:t>
      </w:r>
    </w:p>
    <w:p w14:paraId="6E803976"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 xml:space="preserve">владение – с настройкой минимальной доли, которая будет учитываться сервисом </w:t>
      </w:r>
      <w:r w:rsidRPr="00CA456E">
        <w:rPr>
          <w:rFonts w:ascii="Times New Roman" w:hAnsi="Times New Roman" w:cs="Times New Roman"/>
          <w:color w:val="000000" w:themeColor="text1"/>
          <w:sz w:val="24"/>
          <w:szCs w:val="24"/>
        </w:rPr>
        <w:t>(по общедоступным данным)</w:t>
      </w:r>
      <w:r w:rsidRPr="00CA456E">
        <w:rPr>
          <w:rFonts w:ascii="Times New Roman" w:hAnsi="Times New Roman" w:cs="Times New Roman"/>
          <w:sz w:val="24"/>
          <w:szCs w:val="24"/>
        </w:rPr>
        <w:t>;</w:t>
      </w:r>
    </w:p>
    <w:p w14:paraId="482945A6"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управление – связь между руководителем или управляющей компанией и управляемым объектом;</w:t>
      </w:r>
    </w:p>
    <w:p w14:paraId="7261CCCA"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общий адрес, телефон;</w:t>
      </w:r>
    </w:p>
    <w:p w14:paraId="2CFA5945"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лицензиар и лицензиат товарного знака;</w:t>
      </w:r>
    </w:p>
    <w:p w14:paraId="1B3F7786"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исторические и возможные связи;</w:t>
      </w:r>
    </w:p>
    <w:p w14:paraId="6CD8FFC8" w14:textId="77777777" w:rsidR="00376CC4" w:rsidRPr="00CA456E" w:rsidRDefault="00376CC4" w:rsidP="00376CC4">
      <w:pPr>
        <w:pStyle w:val="a3"/>
        <w:numPr>
          <w:ilvl w:val="0"/>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контрагенты:</w:t>
      </w:r>
    </w:p>
    <w:p w14:paraId="5BD98D05"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поставщик и закупщик в государственных закупках;</w:t>
      </w:r>
    </w:p>
    <w:p w14:paraId="4403F246"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истец и ответчик в арбитражных делах</w:t>
      </w:r>
      <w:r w:rsidRPr="00CA456E">
        <w:rPr>
          <w:rFonts w:ascii="Times New Roman" w:hAnsi="Times New Roman" w:cs="Times New Roman"/>
          <w:color w:val="000000" w:themeColor="text1"/>
          <w:sz w:val="24"/>
          <w:szCs w:val="24"/>
        </w:rPr>
        <w:t>;</w:t>
      </w:r>
    </w:p>
    <w:p w14:paraId="66725220"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производитель и заявитель в сертификатах и декларациях соответствия</w:t>
      </w:r>
      <w:r w:rsidRPr="00CA456E">
        <w:rPr>
          <w:rFonts w:ascii="Times New Roman" w:hAnsi="Times New Roman" w:cs="Times New Roman"/>
          <w:color w:val="000000" w:themeColor="text1"/>
          <w:sz w:val="24"/>
          <w:szCs w:val="24"/>
        </w:rPr>
        <w:t>;</w:t>
      </w:r>
    </w:p>
    <w:p w14:paraId="4AC588A4"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залогодатель и залогодержатель</w:t>
      </w:r>
      <w:r w:rsidRPr="00CA456E">
        <w:rPr>
          <w:rFonts w:ascii="Times New Roman" w:hAnsi="Times New Roman" w:cs="Times New Roman"/>
          <w:color w:val="000000" w:themeColor="text1"/>
          <w:sz w:val="24"/>
          <w:szCs w:val="24"/>
        </w:rPr>
        <w:t>;</w:t>
      </w:r>
    </w:p>
    <w:p w14:paraId="1717CE74"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лизингодатель и лизингополучатель</w:t>
      </w:r>
      <w:r w:rsidRPr="00CA456E">
        <w:rPr>
          <w:rFonts w:ascii="Times New Roman" w:hAnsi="Times New Roman" w:cs="Times New Roman"/>
          <w:color w:val="000000" w:themeColor="text1"/>
          <w:sz w:val="24"/>
          <w:szCs w:val="24"/>
        </w:rPr>
        <w:t>;</w:t>
      </w:r>
    </w:p>
    <w:p w14:paraId="0757E793" w14:textId="77777777" w:rsidR="00376CC4" w:rsidRPr="00CA456E" w:rsidRDefault="00376CC4" w:rsidP="00376CC4">
      <w:pPr>
        <w:pStyle w:val="a3"/>
        <w:numPr>
          <w:ilvl w:val="1"/>
          <w:numId w:val="46"/>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аудиторы и аудируемое лицо.</w:t>
      </w:r>
    </w:p>
    <w:p w14:paraId="525BA50E"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Функция поддерживает возможность настройки значимости связей, возможность поиска и добавления компании, руководителей, совладельцев в интерфейсе поиска связей без необходимости возврата к основному поиску.</w:t>
      </w:r>
    </w:p>
    <w:p w14:paraId="14195ABD" w14:textId="36104904"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Функция Портфель</w:t>
      </w:r>
    </w:p>
    <w:p w14:paraId="2BBACEC4"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предоставляет сервис по анализу рисков по пользовательскому списку контрагентов. К каждой строке списка можно добавить численную величину (отражающую размер задолженности, выручки или любой иной финансовый показатель деятельности контрагента), до двух качественных характеристик (поставляемый товар, совершившее сделку подразделение) и комментарий. Сервис отображает общую структуру портфеля контрагентов, группирует их по уровню рисков, загруженным качественным показателям, регионам, отраслям, величине загруженного численного показателя и автоматически выделяет группы компаний с общим бенефициаром.</w:t>
      </w:r>
    </w:p>
    <w:p w14:paraId="2D8EE256"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lastRenderedPageBreak/>
        <w:t>Функция сверки реквизитов нотариально удостоверенных доверенностей</w:t>
      </w:r>
    </w:p>
    <w:p w14:paraId="5D8DC985"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Проверка нотариально удостоверенной доверенности осуществляется на основании следующих реквизитов:</w:t>
      </w:r>
    </w:p>
    <w:p w14:paraId="2378C9B6" w14:textId="77777777" w:rsidR="00376CC4" w:rsidRPr="00CA456E" w:rsidRDefault="00376CC4" w:rsidP="00376CC4">
      <w:pPr>
        <w:pStyle w:val="a3"/>
        <w:numPr>
          <w:ilvl w:val="0"/>
          <w:numId w:val="47"/>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дата удостоверения доверенности;</w:t>
      </w:r>
    </w:p>
    <w:p w14:paraId="6BDF0F26" w14:textId="77777777" w:rsidR="00376CC4" w:rsidRPr="00CA456E" w:rsidRDefault="00376CC4" w:rsidP="00376CC4">
      <w:pPr>
        <w:pStyle w:val="a3"/>
        <w:numPr>
          <w:ilvl w:val="0"/>
          <w:numId w:val="47"/>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номер регистрации нотариального действия в реестре нотариальных действий единой информационной системы нотариата;</w:t>
      </w:r>
    </w:p>
    <w:p w14:paraId="6755224F" w14:textId="77777777" w:rsidR="00376CC4" w:rsidRPr="00CA456E" w:rsidRDefault="00376CC4" w:rsidP="00376CC4">
      <w:pPr>
        <w:pStyle w:val="a3"/>
        <w:numPr>
          <w:ilvl w:val="0"/>
          <w:numId w:val="47"/>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серия и номер бланка единого образца, предназначенного для совершения нотариального действия (при наличии);</w:t>
      </w:r>
    </w:p>
    <w:p w14:paraId="48121421" w14:textId="77777777" w:rsidR="00376CC4" w:rsidRPr="00CA456E" w:rsidRDefault="00376CC4" w:rsidP="00376CC4">
      <w:pPr>
        <w:pStyle w:val="a3"/>
        <w:numPr>
          <w:ilvl w:val="0"/>
          <w:numId w:val="47"/>
        </w:numPr>
        <w:spacing w:line="256" w:lineRule="auto"/>
        <w:jc w:val="both"/>
        <w:rPr>
          <w:rFonts w:ascii="Times New Roman" w:hAnsi="Times New Roman" w:cs="Times New Roman"/>
          <w:sz w:val="24"/>
          <w:szCs w:val="24"/>
        </w:rPr>
      </w:pPr>
      <w:r w:rsidRPr="00CA456E">
        <w:rPr>
          <w:rFonts w:ascii="Times New Roman" w:hAnsi="Times New Roman" w:cs="Times New Roman"/>
          <w:sz w:val="24"/>
          <w:szCs w:val="24"/>
        </w:rPr>
        <w:t>сведения о лице, удостоверившем доверенность.</w:t>
      </w:r>
    </w:p>
    <w:p w14:paraId="6FF1A73A"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Функция сравнения компаний по параметрам</w:t>
      </w:r>
    </w:p>
    <w:p w14:paraId="24A95A54" w14:textId="77777777" w:rsidR="00376CC4" w:rsidRPr="00CA456E" w:rsidRDefault="00376CC4" w:rsidP="00376CC4">
      <w:pPr>
        <w:jc w:val="both"/>
        <w:rPr>
          <w:rFonts w:ascii="Times New Roman" w:hAnsi="Times New Roman" w:cs="Times New Roman"/>
          <w:sz w:val="24"/>
          <w:szCs w:val="24"/>
        </w:rPr>
      </w:pPr>
      <w:r w:rsidRPr="00CA456E">
        <w:rPr>
          <w:rFonts w:ascii="Times New Roman" w:hAnsi="Times New Roman" w:cs="Times New Roman"/>
          <w:sz w:val="24"/>
          <w:szCs w:val="24"/>
        </w:rPr>
        <w:t>Информационный ресурс позволяет сравнивать до 5 компаний по ключевым показателям: размеру, деятельности, финансовому положению и рисковым факторам.</w:t>
      </w:r>
    </w:p>
    <w:p w14:paraId="40517792" w14:textId="77777777" w:rsidR="003D3999" w:rsidRPr="00CA456E" w:rsidRDefault="003D3999" w:rsidP="003D3999">
      <w:pPr>
        <w:spacing w:before="120" w:after="120" w:line="240" w:lineRule="auto"/>
        <w:jc w:val="both"/>
        <w:rPr>
          <w:rFonts w:ascii="Times New Roman" w:hAnsi="Times New Roman" w:cs="Times New Roman"/>
          <w:b/>
          <w:sz w:val="24"/>
          <w:szCs w:val="24"/>
        </w:rPr>
      </w:pPr>
      <w:r w:rsidRPr="00CA456E">
        <w:rPr>
          <w:rFonts w:ascii="Times New Roman" w:hAnsi="Times New Roman" w:cs="Times New Roman"/>
          <w:b/>
          <w:sz w:val="24"/>
          <w:szCs w:val="24"/>
        </w:rPr>
        <w:t xml:space="preserve">6. Гарантийные обязательства по предоставлению доступа к услугам </w:t>
      </w:r>
    </w:p>
    <w:p w14:paraId="1064E120" w14:textId="77777777" w:rsidR="003D3999" w:rsidRPr="00CA456E" w:rsidRDefault="003D3999" w:rsidP="003D3999">
      <w:pPr>
        <w:spacing w:before="120" w:after="120" w:line="240" w:lineRule="auto"/>
        <w:jc w:val="both"/>
        <w:rPr>
          <w:rFonts w:ascii="Times New Roman" w:hAnsi="Times New Roman" w:cs="Times New Roman"/>
          <w:sz w:val="24"/>
          <w:szCs w:val="24"/>
        </w:rPr>
      </w:pPr>
      <w:r w:rsidRPr="00CA456E">
        <w:rPr>
          <w:rFonts w:ascii="Times New Roman" w:hAnsi="Times New Roman" w:cs="Times New Roman"/>
          <w:sz w:val="24"/>
          <w:szCs w:val="24"/>
        </w:rPr>
        <w:t>Не установлены.</w:t>
      </w:r>
    </w:p>
    <w:p w14:paraId="091D4E3D" w14:textId="77777777" w:rsidR="003D3999" w:rsidRPr="00CA456E" w:rsidRDefault="003D3999" w:rsidP="003D3999">
      <w:pPr>
        <w:spacing w:before="120" w:after="120" w:line="240" w:lineRule="auto"/>
        <w:jc w:val="both"/>
        <w:rPr>
          <w:rFonts w:ascii="Times New Roman" w:hAnsi="Times New Roman" w:cs="Times New Roman"/>
          <w:b/>
          <w:sz w:val="24"/>
          <w:szCs w:val="24"/>
        </w:rPr>
      </w:pPr>
      <w:r w:rsidRPr="00CA456E">
        <w:rPr>
          <w:rFonts w:ascii="Times New Roman" w:hAnsi="Times New Roman" w:cs="Times New Roman"/>
          <w:b/>
          <w:sz w:val="24"/>
          <w:szCs w:val="24"/>
        </w:rPr>
        <w:t>7. Место оказания услуг</w:t>
      </w:r>
    </w:p>
    <w:p w14:paraId="444F23D2" w14:textId="77777777" w:rsidR="003D3999" w:rsidRPr="00CA456E" w:rsidRDefault="003D3999" w:rsidP="003D3999">
      <w:pPr>
        <w:spacing w:before="120" w:after="120" w:line="240" w:lineRule="auto"/>
        <w:jc w:val="both"/>
        <w:rPr>
          <w:rFonts w:ascii="Times New Roman" w:hAnsi="Times New Roman" w:cs="Times New Roman"/>
          <w:sz w:val="24"/>
          <w:szCs w:val="24"/>
        </w:rPr>
      </w:pPr>
      <w:r w:rsidRPr="00CA456E">
        <w:rPr>
          <w:rFonts w:ascii="Times New Roman" w:hAnsi="Times New Roman" w:cs="Times New Roman"/>
          <w:sz w:val="24"/>
          <w:szCs w:val="24"/>
        </w:rPr>
        <w:t>Городской округ Балашиха.</w:t>
      </w:r>
    </w:p>
    <w:p w14:paraId="2B1E08D4" w14:textId="77777777" w:rsidR="003D3999" w:rsidRPr="00CA456E" w:rsidRDefault="003D3999" w:rsidP="003D3999">
      <w:pPr>
        <w:spacing w:before="120" w:after="120" w:line="240" w:lineRule="auto"/>
        <w:jc w:val="both"/>
        <w:rPr>
          <w:rFonts w:ascii="Times New Roman" w:hAnsi="Times New Roman" w:cs="Times New Roman"/>
          <w:b/>
          <w:sz w:val="24"/>
          <w:szCs w:val="24"/>
        </w:rPr>
      </w:pPr>
      <w:r w:rsidRPr="00CA456E">
        <w:rPr>
          <w:rFonts w:ascii="Times New Roman" w:hAnsi="Times New Roman" w:cs="Times New Roman"/>
          <w:b/>
          <w:sz w:val="24"/>
          <w:szCs w:val="24"/>
        </w:rPr>
        <w:t>8. Срок оказания услуг</w:t>
      </w:r>
    </w:p>
    <w:p w14:paraId="3A45892E" w14:textId="334BA694" w:rsidR="003D3999" w:rsidRPr="00CA456E" w:rsidRDefault="003D3999" w:rsidP="003D3999">
      <w:pPr>
        <w:spacing w:before="120" w:after="120" w:line="240" w:lineRule="auto"/>
        <w:jc w:val="both"/>
        <w:rPr>
          <w:rFonts w:ascii="Times New Roman" w:hAnsi="Times New Roman" w:cs="Times New Roman"/>
          <w:sz w:val="24"/>
          <w:szCs w:val="24"/>
        </w:rPr>
      </w:pPr>
      <w:r w:rsidRPr="00CA456E">
        <w:rPr>
          <w:rFonts w:ascii="Times New Roman" w:hAnsi="Times New Roman" w:cs="Times New Roman"/>
          <w:sz w:val="24"/>
          <w:szCs w:val="24"/>
        </w:rPr>
        <w:t>Срок оказания Исполнителем услуг – с 01.0</w:t>
      </w:r>
      <w:r w:rsidR="009D27F2" w:rsidRPr="00CA456E">
        <w:rPr>
          <w:rFonts w:ascii="Times New Roman" w:hAnsi="Times New Roman" w:cs="Times New Roman"/>
          <w:sz w:val="24"/>
          <w:szCs w:val="24"/>
        </w:rPr>
        <w:t>1</w:t>
      </w:r>
      <w:r w:rsidRPr="00CA456E">
        <w:rPr>
          <w:rFonts w:ascii="Times New Roman" w:hAnsi="Times New Roman" w:cs="Times New Roman"/>
          <w:sz w:val="24"/>
          <w:szCs w:val="24"/>
        </w:rPr>
        <w:t>.202</w:t>
      </w:r>
      <w:r w:rsidR="009D27F2" w:rsidRPr="00CA456E">
        <w:rPr>
          <w:rFonts w:ascii="Times New Roman" w:hAnsi="Times New Roman" w:cs="Times New Roman"/>
          <w:sz w:val="24"/>
          <w:szCs w:val="24"/>
        </w:rPr>
        <w:t>7</w:t>
      </w:r>
      <w:r w:rsidRPr="00CA456E">
        <w:rPr>
          <w:rFonts w:ascii="Times New Roman" w:hAnsi="Times New Roman" w:cs="Times New Roman"/>
          <w:sz w:val="24"/>
          <w:szCs w:val="24"/>
        </w:rPr>
        <w:t xml:space="preserve"> по 3</w:t>
      </w:r>
      <w:r w:rsidR="009D27F2" w:rsidRPr="00CA456E">
        <w:rPr>
          <w:rFonts w:ascii="Times New Roman" w:hAnsi="Times New Roman" w:cs="Times New Roman"/>
          <w:sz w:val="24"/>
          <w:szCs w:val="24"/>
        </w:rPr>
        <w:t>0</w:t>
      </w:r>
      <w:r w:rsidRPr="00CA456E">
        <w:rPr>
          <w:rFonts w:ascii="Times New Roman" w:hAnsi="Times New Roman" w:cs="Times New Roman"/>
          <w:sz w:val="24"/>
          <w:szCs w:val="24"/>
        </w:rPr>
        <w:t>.</w:t>
      </w:r>
      <w:r w:rsidR="009D27F2" w:rsidRPr="00CA456E">
        <w:rPr>
          <w:rFonts w:ascii="Times New Roman" w:hAnsi="Times New Roman" w:cs="Times New Roman"/>
          <w:sz w:val="24"/>
          <w:szCs w:val="24"/>
        </w:rPr>
        <w:t>06</w:t>
      </w:r>
      <w:r w:rsidRPr="00CA456E">
        <w:rPr>
          <w:rFonts w:ascii="Times New Roman" w:hAnsi="Times New Roman" w:cs="Times New Roman"/>
          <w:sz w:val="24"/>
          <w:szCs w:val="24"/>
        </w:rPr>
        <w:t>.202</w:t>
      </w:r>
      <w:r w:rsidR="009D27F2" w:rsidRPr="00CA456E">
        <w:rPr>
          <w:rFonts w:ascii="Times New Roman" w:hAnsi="Times New Roman" w:cs="Times New Roman"/>
          <w:sz w:val="24"/>
          <w:szCs w:val="24"/>
        </w:rPr>
        <w:t>7</w:t>
      </w:r>
      <w:r w:rsidRPr="00CA456E">
        <w:rPr>
          <w:rFonts w:ascii="Times New Roman" w:hAnsi="Times New Roman" w:cs="Times New Roman"/>
          <w:sz w:val="24"/>
          <w:szCs w:val="24"/>
        </w:rPr>
        <w:t xml:space="preserve"> года.</w:t>
      </w:r>
    </w:p>
    <w:p w14:paraId="15AA4623" w14:textId="77777777" w:rsidR="003D3999" w:rsidRPr="00CA456E" w:rsidRDefault="003D3999" w:rsidP="0046142E">
      <w:pPr>
        <w:jc w:val="both"/>
        <w:rPr>
          <w:rFonts w:ascii="Times New Roman" w:hAnsi="Times New Roman" w:cs="Times New Roman"/>
          <w:sz w:val="24"/>
          <w:szCs w:val="24"/>
        </w:rPr>
      </w:pPr>
    </w:p>
    <w:sectPr w:rsidR="003D3999" w:rsidRPr="00CA4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3D0"/>
    <w:multiLevelType w:val="hybridMultilevel"/>
    <w:tmpl w:val="C28AD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5030BC"/>
    <w:multiLevelType w:val="hybridMultilevel"/>
    <w:tmpl w:val="B2BC78B0"/>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002463"/>
    <w:multiLevelType w:val="hybridMultilevel"/>
    <w:tmpl w:val="27AE81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11759B"/>
    <w:multiLevelType w:val="hybridMultilevel"/>
    <w:tmpl w:val="07F499B4"/>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7D7F6C"/>
    <w:multiLevelType w:val="hybridMultilevel"/>
    <w:tmpl w:val="6C86D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717548"/>
    <w:multiLevelType w:val="hybridMultilevel"/>
    <w:tmpl w:val="40240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E34829"/>
    <w:multiLevelType w:val="hybridMultilevel"/>
    <w:tmpl w:val="1AD26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8A3CC3"/>
    <w:multiLevelType w:val="hybridMultilevel"/>
    <w:tmpl w:val="9CECA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14DFB"/>
    <w:multiLevelType w:val="hybridMultilevel"/>
    <w:tmpl w:val="DBE22102"/>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8066D"/>
    <w:multiLevelType w:val="hybridMultilevel"/>
    <w:tmpl w:val="4A8E97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A357D3"/>
    <w:multiLevelType w:val="hybridMultilevel"/>
    <w:tmpl w:val="0590A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1A7614"/>
    <w:multiLevelType w:val="hybridMultilevel"/>
    <w:tmpl w:val="38AA5EE8"/>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9D2C27"/>
    <w:multiLevelType w:val="hybridMultilevel"/>
    <w:tmpl w:val="3AF2DCEA"/>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1B09B9"/>
    <w:multiLevelType w:val="hybridMultilevel"/>
    <w:tmpl w:val="53845058"/>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E13BFD"/>
    <w:multiLevelType w:val="hybridMultilevel"/>
    <w:tmpl w:val="57CA6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EE1957"/>
    <w:multiLevelType w:val="hybridMultilevel"/>
    <w:tmpl w:val="9F528BCC"/>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447BB0"/>
    <w:multiLevelType w:val="hybridMultilevel"/>
    <w:tmpl w:val="AAFAC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A416D0"/>
    <w:multiLevelType w:val="hybridMultilevel"/>
    <w:tmpl w:val="970EA3C8"/>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181942"/>
    <w:multiLevelType w:val="hybridMultilevel"/>
    <w:tmpl w:val="63D0B0D0"/>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7B02F9"/>
    <w:multiLevelType w:val="hybridMultilevel"/>
    <w:tmpl w:val="56F66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E579C6"/>
    <w:multiLevelType w:val="hybridMultilevel"/>
    <w:tmpl w:val="3E325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38370A"/>
    <w:multiLevelType w:val="hybridMultilevel"/>
    <w:tmpl w:val="7536F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7C0743"/>
    <w:multiLevelType w:val="hybridMultilevel"/>
    <w:tmpl w:val="671C10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B901F0"/>
    <w:multiLevelType w:val="hybridMultilevel"/>
    <w:tmpl w:val="1EE242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BB8F692">
      <w:start w:val="1"/>
      <w:numFmt w:val="bullet"/>
      <w:lvlText w:val="•"/>
      <w:lvlJc w:val="left"/>
      <w:pPr>
        <w:ind w:left="2505" w:hanging="705"/>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6C5AD3"/>
    <w:multiLevelType w:val="hybridMultilevel"/>
    <w:tmpl w:val="1D28E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55588D"/>
    <w:multiLevelType w:val="hybridMultilevel"/>
    <w:tmpl w:val="BEDEE73E"/>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B7161A"/>
    <w:multiLevelType w:val="hybridMultilevel"/>
    <w:tmpl w:val="4412EB3E"/>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9559DC"/>
    <w:multiLevelType w:val="hybridMultilevel"/>
    <w:tmpl w:val="10D4E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006887"/>
    <w:multiLevelType w:val="hybridMultilevel"/>
    <w:tmpl w:val="FDB0FFA4"/>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BD0C2D"/>
    <w:multiLevelType w:val="hybridMultilevel"/>
    <w:tmpl w:val="9BCA2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0B3947"/>
    <w:multiLevelType w:val="hybridMultilevel"/>
    <w:tmpl w:val="3008F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616F90"/>
    <w:multiLevelType w:val="hybridMultilevel"/>
    <w:tmpl w:val="48B2449A"/>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BC7FEA"/>
    <w:multiLevelType w:val="hybridMultilevel"/>
    <w:tmpl w:val="F0AEC9CA"/>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216A4C"/>
    <w:multiLevelType w:val="hybridMultilevel"/>
    <w:tmpl w:val="4754DB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F72E29"/>
    <w:multiLevelType w:val="hybridMultilevel"/>
    <w:tmpl w:val="48507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A0B526E"/>
    <w:multiLevelType w:val="hybridMultilevel"/>
    <w:tmpl w:val="2C74B836"/>
    <w:lvl w:ilvl="0" w:tplc="62C6D208">
      <w:numFmt w:val="bullet"/>
      <w:lvlText w:val="•"/>
      <w:lvlJc w:val="left"/>
      <w:pPr>
        <w:ind w:left="1065"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8"/>
  </w:num>
  <w:num w:numId="4">
    <w:abstractNumId w:val="26"/>
  </w:num>
  <w:num w:numId="5">
    <w:abstractNumId w:val="11"/>
  </w:num>
  <w:num w:numId="6">
    <w:abstractNumId w:val="32"/>
  </w:num>
  <w:num w:numId="7">
    <w:abstractNumId w:val="12"/>
  </w:num>
  <w:num w:numId="8">
    <w:abstractNumId w:val="18"/>
  </w:num>
  <w:num w:numId="9">
    <w:abstractNumId w:val="35"/>
  </w:num>
  <w:num w:numId="10">
    <w:abstractNumId w:val="31"/>
  </w:num>
  <w:num w:numId="11">
    <w:abstractNumId w:val="17"/>
  </w:num>
  <w:num w:numId="12">
    <w:abstractNumId w:val="15"/>
  </w:num>
  <w:num w:numId="13">
    <w:abstractNumId w:val="13"/>
  </w:num>
  <w:num w:numId="14">
    <w:abstractNumId w:val="3"/>
  </w:num>
  <w:num w:numId="15">
    <w:abstractNumId w:val="25"/>
  </w:num>
  <w:num w:numId="16">
    <w:abstractNumId w:val="1"/>
  </w:num>
  <w:num w:numId="17">
    <w:abstractNumId w:val="4"/>
  </w:num>
  <w:num w:numId="18">
    <w:abstractNumId w:val="22"/>
  </w:num>
  <w:num w:numId="19">
    <w:abstractNumId w:val="23"/>
  </w:num>
  <w:num w:numId="20">
    <w:abstractNumId w:val="10"/>
  </w:num>
  <w:num w:numId="21">
    <w:abstractNumId w:val="5"/>
  </w:num>
  <w:num w:numId="22">
    <w:abstractNumId w:val="16"/>
  </w:num>
  <w:num w:numId="23">
    <w:abstractNumId w:val="19"/>
  </w:num>
  <w:num w:numId="24">
    <w:abstractNumId w:val="21"/>
  </w:num>
  <w:num w:numId="25">
    <w:abstractNumId w:val="30"/>
  </w:num>
  <w:num w:numId="26">
    <w:abstractNumId w:val="9"/>
  </w:num>
  <w:num w:numId="27">
    <w:abstractNumId w:val="34"/>
  </w:num>
  <w:num w:numId="28">
    <w:abstractNumId w:val="29"/>
  </w:num>
  <w:num w:numId="29">
    <w:abstractNumId w:val="20"/>
  </w:num>
  <w:num w:numId="30">
    <w:abstractNumId w:val="7"/>
  </w:num>
  <w:num w:numId="31">
    <w:abstractNumId w:val="0"/>
  </w:num>
  <w:num w:numId="32">
    <w:abstractNumId w:val="14"/>
  </w:num>
  <w:num w:numId="33">
    <w:abstractNumId w:val="2"/>
  </w:num>
  <w:num w:numId="34">
    <w:abstractNumId w:val="33"/>
  </w:num>
  <w:num w:numId="35">
    <w:abstractNumId w:val="24"/>
  </w:num>
  <w:num w:numId="36">
    <w:abstractNumId w:val="6"/>
  </w:num>
  <w:num w:numId="37">
    <w:abstractNumId w:val="14"/>
  </w:num>
  <w:num w:numId="38">
    <w:abstractNumId w:val="2"/>
  </w:num>
  <w:num w:numId="39">
    <w:abstractNumId w:val="24"/>
  </w:num>
  <w:num w:numId="40">
    <w:abstractNumId w:val="5"/>
  </w:num>
  <w:num w:numId="41">
    <w:abstractNumId w:val="9"/>
  </w:num>
  <w:num w:numId="42">
    <w:abstractNumId w:val="19"/>
  </w:num>
  <w:num w:numId="43">
    <w:abstractNumId w:val="6"/>
  </w:num>
  <w:num w:numId="44">
    <w:abstractNumId w:val="17"/>
  </w:num>
  <w:num w:numId="45">
    <w:abstractNumId w:val="13"/>
  </w:num>
  <w:num w:numId="46">
    <w:abstractNumId w:val="22"/>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ABD"/>
    <w:rsid w:val="00005705"/>
    <w:rsid w:val="0002112E"/>
    <w:rsid w:val="0004527B"/>
    <w:rsid w:val="00045346"/>
    <w:rsid w:val="000571F6"/>
    <w:rsid w:val="00061288"/>
    <w:rsid w:val="00075A7C"/>
    <w:rsid w:val="00087978"/>
    <w:rsid w:val="000A5A11"/>
    <w:rsid w:val="000D1AA2"/>
    <w:rsid w:val="000F08B5"/>
    <w:rsid w:val="000F43B2"/>
    <w:rsid w:val="000F6D58"/>
    <w:rsid w:val="00127231"/>
    <w:rsid w:val="001364AD"/>
    <w:rsid w:val="0015375B"/>
    <w:rsid w:val="00155CC6"/>
    <w:rsid w:val="00161EB3"/>
    <w:rsid w:val="0016302D"/>
    <w:rsid w:val="00164C88"/>
    <w:rsid w:val="00170ABD"/>
    <w:rsid w:val="00172392"/>
    <w:rsid w:val="001A31BC"/>
    <w:rsid w:val="001A3E4D"/>
    <w:rsid w:val="001A6E38"/>
    <w:rsid w:val="001D4237"/>
    <w:rsid w:val="001E02E4"/>
    <w:rsid w:val="001E5DEE"/>
    <w:rsid w:val="001E712A"/>
    <w:rsid w:val="001E7293"/>
    <w:rsid w:val="001F2ADE"/>
    <w:rsid w:val="001F6F79"/>
    <w:rsid w:val="00200737"/>
    <w:rsid w:val="00203E16"/>
    <w:rsid w:val="00222447"/>
    <w:rsid w:val="002423AF"/>
    <w:rsid w:val="00244D34"/>
    <w:rsid w:val="00246AA3"/>
    <w:rsid w:val="0025287E"/>
    <w:rsid w:val="0025517E"/>
    <w:rsid w:val="00264BAA"/>
    <w:rsid w:val="002771B0"/>
    <w:rsid w:val="00283269"/>
    <w:rsid w:val="00285770"/>
    <w:rsid w:val="00285A9E"/>
    <w:rsid w:val="00287026"/>
    <w:rsid w:val="00295127"/>
    <w:rsid w:val="00296A17"/>
    <w:rsid w:val="002A3912"/>
    <w:rsid w:val="002A65E8"/>
    <w:rsid w:val="002B17EE"/>
    <w:rsid w:val="002C083F"/>
    <w:rsid w:val="002C4A58"/>
    <w:rsid w:val="002D217E"/>
    <w:rsid w:val="002D3F56"/>
    <w:rsid w:val="002E4818"/>
    <w:rsid w:val="002F0463"/>
    <w:rsid w:val="002F17C3"/>
    <w:rsid w:val="002F2197"/>
    <w:rsid w:val="00300081"/>
    <w:rsid w:val="0032656B"/>
    <w:rsid w:val="003314B0"/>
    <w:rsid w:val="00334567"/>
    <w:rsid w:val="003373BC"/>
    <w:rsid w:val="00341BDE"/>
    <w:rsid w:val="0036086E"/>
    <w:rsid w:val="00361431"/>
    <w:rsid w:val="00365508"/>
    <w:rsid w:val="00372ED9"/>
    <w:rsid w:val="00376CC4"/>
    <w:rsid w:val="00376D12"/>
    <w:rsid w:val="0037732A"/>
    <w:rsid w:val="0038115F"/>
    <w:rsid w:val="00392AF6"/>
    <w:rsid w:val="003A4B48"/>
    <w:rsid w:val="003A523F"/>
    <w:rsid w:val="003B07FC"/>
    <w:rsid w:val="003B1D40"/>
    <w:rsid w:val="003C062D"/>
    <w:rsid w:val="003D3999"/>
    <w:rsid w:val="003E28C4"/>
    <w:rsid w:val="003F5F58"/>
    <w:rsid w:val="003F6428"/>
    <w:rsid w:val="003F6F2F"/>
    <w:rsid w:val="0040738A"/>
    <w:rsid w:val="00416F40"/>
    <w:rsid w:val="00444F5E"/>
    <w:rsid w:val="004505B1"/>
    <w:rsid w:val="0046142E"/>
    <w:rsid w:val="004628DB"/>
    <w:rsid w:val="00484379"/>
    <w:rsid w:val="004859C2"/>
    <w:rsid w:val="00492778"/>
    <w:rsid w:val="0049575D"/>
    <w:rsid w:val="004A163D"/>
    <w:rsid w:val="004A4936"/>
    <w:rsid w:val="004A4D16"/>
    <w:rsid w:val="004A6E6D"/>
    <w:rsid w:val="004B0388"/>
    <w:rsid w:val="004B149B"/>
    <w:rsid w:val="004B1881"/>
    <w:rsid w:val="004B2D05"/>
    <w:rsid w:val="004C5FEC"/>
    <w:rsid w:val="004D403C"/>
    <w:rsid w:val="004E345E"/>
    <w:rsid w:val="004E3C2A"/>
    <w:rsid w:val="004F643E"/>
    <w:rsid w:val="005062E6"/>
    <w:rsid w:val="0052049C"/>
    <w:rsid w:val="0053003A"/>
    <w:rsid w:val="005373D7"/>
    <w:rsid w:val="00540C8D"/>
    <w:rsid w:val="00566593"/>
    <w:rsid w:val="005806BF"/>
    <w:rsid w:val="005A57E8"/>
    <w:rsid w:val="005A6EB0"/>
    <w:rsid w:val="005B0B03"/>
    <w:rsid w:val="005B3BA8"/>
    <w:rsid w:val="005B58FE"/>
    <w:rsid w:val="005B6E23"/>
    <w:rsid w:val="005C0C9B"/>
    <w:rsid w:val="005C27AE"/>
    <w:rsid w:val="005C416F"/>
    <w:rsid w:val="005C5FCB"/>
    <w:rsid w:val="005D2FE6"/>
    <w:rsid w:val="005D4374"/>
    <w:rsid w:val="005D4C67"/>
    <w:rsid w:val="005E3700"/>
    <w:rsid w:val="005E4DE7"/>
    <w:rsid w:val="005F344C"/>
    <w:rsid w:val="005F3E0F"/>
    <w:rsid w:val="006073EF"/>
    <w:rsid w:val="006159F0"/>
    <w:rsid w:val="00616C55"/>
    <w:rsid w:val="00617F60"/>
    <w:rsid w:val="006233B3"/>
    <w:rsid w:val="00626007"/>
    <w:rsid w:val="00637801"/>
    <w:rsid w:val="0064164B"/>
    <w:rsid w:val="00657903"/>
    <w:rsid w:val="00670611"/>
    <w:rsid w:val="00683BEF"/>
    <w:rsid w:val="0068424F"/>
    <w:rsid w:val="00686EF7"/>
    <w:rsid w:val="006B2843"/>
    <w:rsid w:val="006C3958"/>
    <w:rsid w:val="006C599E"/>
    <w:rsid w:val="006D6B08"/>
    <w:rsid w:val="006E0000"/>
    <w:rsid w:val="006F3CBF"/>
    <w:rsid w:val="006F6449"/>
    <w:rsid w:val="0070089C"/>
    <w:rsid w:val="00701A31"/>
    <w:rsid w:val="00711929"/>
    <w:rsid w:val="00720BBF"/>
    <w:rsid w:val="00725578"/>
    <w:rsid w:val="0073633F"/>
    <w:rsid w:val="007430BE"/>
    <w:rsid w:val="00751D9E"/>
    <w:rsid w:val="0075406B"/>
    <w:rsid w:val="00771DB4"/>
    <w:rsid w:val="00773794"/>
    <w:rsid w:val="00780EC5"/>
    <w:rsid w:val="00781DD6"/>
    <w:rsid w:val="00782839"/>
    <w:rsid w:val="00797033"/>
    <w:rsid w:val="007A142E"/>
    <w:rsid w:val="007A25A6"/>
    <w:rsid w:val="007A36EF"/>
    <w:rsid w:val="007A5D20"/>
    <w:rsid w:val="007B2563"/>
    <w:rsid w:val="007B401A"/>
    <w:rsid w:val="007C1FBF"/>
    <w:rsid w:val="007D1BB4"/>
    <w:rsid w:val="007D4664"/>
    <w:rsid w:val="007D6871"/>
    <w:rsid w:val="007E49D6"/>
    <w:rsid w:val="00805083"/>
    <w:rsid w:val="008107C5"/>
    <w:rsid w:val="00824453"/>
    <w:rsid w:val="00825241"/>
    <w:rsid w:val="00826BAF"/>
    <w:rsid w:val="00834BE2"/>
    <w:rsid w:val="008407C7"/>
    <w:rsid w:val="00840B86"/>
    <w:rsid w:val="00842DE6"/>
    <w:rsid w:val="008624C5"/>
    <w:rsid w:val="00871FE1"/>
    <w:rsid w:val="00881CCA"/>
    <w:rsid w:val="008A32DE"/>
    <w:rsid w:val="008A33A5"/>
    <w:rsid w:val="008B2616"/>
    <w:rsid w:val="008B5959"/>
    <w:rsid w:val="008E084C"/>
    <w:rsid w:val="008E0AFD"/>
    <w:rsid w:val="008E6964"/>
    <w:rsid w:val="00907407"/>
    <w:rsid w:val="0092424E"/>
    <w:rsid w:val="009265B7"/>
    <w:rsid w:val="00953FB1"/>
    <w:rsid w:val="0096214A"/>
    <w:rsid w:val="00962906"/>
    <w:rsid w:val="00975C94"/>
    <w:rsid w:val="0098039B"/>
    <w:rsid w:val="00991BAB"/>
    <w:rsid w:val="009A00FF"/>
    <w:rsid w:val="009B28B5"/>
    <w:rsid w:val="009B3704"/>
    <w:rsid w:val="009C1B59"/>
    <w:rsid w:val="009C29D7"/>
    <w:rsid w:val="009D27F2"/>
    <w:rsid w:val="009D29EE"/>
    <w:rsid w:val="009E2CC0"/>
    <w:rsid w:val="009F0DA9"/>
    <w:rsid w:val="00A01CBF"/>
    <w:rsid w:val="00A0704A"/>
    <w:rsid w:val="00A14692"/>
    <w:rsid w:val="00A200D8"/>
    <w:rsid w:val="00A2066B"/>
    <w:rsid w:val="00A231CA"/>
    <w:rsid w:val="00A259A0"/>
    <w:rsid w:val="00A3232C"/>
    <w:rsid w:val="00A40382"/>
    <w:rsid w:val="00A50662"/>
    <w:rsid w:val="00A50C8D"/>
    <w:rsid w:val="00A708DA"/>
    <w:rsid w:val="00A70D45"/>
    <w:rsid w:val="00A917E7"/>
    <w:rsid w:val="00AA13CB"/>
    <w:rsid w:val="00AA29E6"/>
    <w:rsid w:val="00AA2B39"/>
    <w:rsid w:val="00AB5691"/>
    <w:rsid w:val="00AC4000"/>
    <w:rsid w:val="00AD45A6"/>
    <w:rsid w:val="00AD4654"/>
    <w:rsid w:val="00AD7CA3"/>
    <w:rsid w:val="00AF2D90"/>
    <w:rsid w:val="00B00062"/>
    <w:rsid w:val="00B1059C"/>
    <w:rsid w:val="00B24FCC"/>
    <w:rsid w:val="00B34299"/>
    <w:rsid w:val="00B362D2"/>
    <w:rsid w:val="00B37292"/>
    <w:rsid w:val="00B4371F"/>
    <w:rsid w:val="00B54B13"/>
    <w:rsid w:val="00B55354"/>
    <w:rsid w:val="00B74C61"/>
    <w:rsid w:val="00B75735"/>
    <w:rsid w:val="00B81CED"/>
    <w:rsid w:val="00B906B1"/>
    <w:rsid w:val="00B91327"/>
    <w:rsid w:val="00B92875"/>
    <w:rsid w:val="00B961CC"/>
    <w:rsid w:val="00BD2FCC"/>
    <w:rsid w:val="00BD53AC"/>
    <w:rsid w:val="00BF47B0"/>
    <w:rsid w:val="00C0544B"/>
    <w:rsid w:val="00C05744"/>
    <w:rsid w:val="00C107B1"/>
    <w:rsid w:val="00C13991"/>
    <w:rsid w:val="00C24040"/>
    <w:rsid w:val="00C3031B"/>
    <w:rsid w:val="00C36C18"/>
    <w:rsid w:val="00C46DBB"/>
    <w:rsid w:val="00C517EA"/>
    <w:rsid w:val="00C5180E"/>
    <w:rsid w:val="00C542FD"/>
    <w:rsid w:val="00C57C22"/>
    <w:rsid w:val="00C6266B"/>
    <w:rsid w:val="00C90C42"/>
    <w:rsid w:val="00C952E8"/>
    <w:rsid w:val="00CA456E"/>
    <w:rsid w:val="00CA5460"/>
    <w:rsid w:val="00CD74BC"/>
    <w:rsid w:val="00CF16C5"/>
    <w:rsid w:val="00CF215F"/>
    <w:rsid w:val="00CF24CB"/>
    <w:rsid w:val="00D043CA"/>
    <w:rsid w:val="00D04526"/>
    <w:rsid w:val="00D15EAF"/>
    <w:rsid w:val="00D23F15"/>
    <w:rsid w:val="00D2490E"/>
    <w:rsid w:val="00D36ED6"/>
    <w:rsid w:val="00D43A02"/>
    <w:rsid w:val="00D54811"/>
    <w:rsid w:val="00D705B2"/>
    <w:rsid w:val="00D72E55"/>
    <w:rsid w:val="00D7534C"/>
    <w:rsid w:val="00D81543"/>
    <w:rsid w:val="00D86306"/>
    <w:rsid w:val="00D91EA0"/>
    <w:rsid w:val="00D944DA"/>
    <w:rsid w:val="00DC0980"/>
    <w:rsid w:val="00DC1E4A"/>
    <w:rsid w:val="00DC7F30"/>
    <w:rsid w:val="00DD7E51"/>
    <w:rsid w:val="00DE5071"/>
    <w:rsid w:val="00DF1A72"/>
    <w:rsid w:val="00DF7800"/>
    <w:rsid w:val="00E023E5"/>
    <w:rsid w:val="00E13D8E"/>
    <w:rsid w:val="00E24BE1"/>
    <w:rsid w:val="00E315AC"/>
    <w:rsid w:val="00E34883"/>
    <w:rsid w:val="00E41745"/>
    <w:rsid w:val="00E457CB"/>
    <w:rsid w:val="00E52DF7"/>
    <w:rsid w:val="00E60A8C"/>
    <w:rsid w:val="00E614F6"/>
    <w:rsid w:val="00E63763"/>
    <w:rsid w:val="00E65AF7"/>
    <w:rsid w:val="00E75EB5"/>
    <w:rsid w:val="00E7724B"/>
    <w:rsid w:val="00E8134C"/>
    <w:rsid w:val="00EC27E7"/>
    <w:rsid w:val="00ED7BC5"/>
    <w:rsid w:val="00EE1FBC"/>
    <w:rsid w:val="00EE6463"/>
    <w:rsid w:val="00EF1CD5"/>
    <w:rsid w:val="00EF391D"/>
    <w:rsid w:val="00EF55D9"/>
    <w:rsid w:val="00F15677"/>
    <w:rsid w:val="00F164D6"/>
    <w:rsid w:val="00F17DDC"/>
    <w:rsid w:val="00F21D13"/>
    <w:rsid w:val="00F251BB"/>
    <w:rsid w:val="00F37E0F"/>
    <w:rsid w:val="00F430D8"/>
    <w:rsid w:val="00F50653"/>
    <w:rsid w:val="00F541BC"/>
    <w:rsid w:val="00F60E7F"/>
    <w:rsid w:val="00F634B1"/>
    <w:rsid w:val="00F67645"/>
    <w:rsid w:val="00F857DF"/>
    <w:rsid w:val="00F8621A"/>
    <w:rsid w:val="00F97FE7"/>
    <w:rsid w:val="00FA29E8"/>
    <w:rsid w:val="00FA4BF7"/>
    <w:rsid w:val="00FA6153"/>
    <w:rsid w:val="00FB4A35"/>
    <w:rsid w:val="00FB51A3"/>
    <w:rsid w:val="00FB5C28"/>
    <w:rsid w:val="00FC485B"/>
    <w:rsid w:val="00FD6BE2"/>
    <w:rsid w:val="00FE3237"/>
    <w:rsid w:val="00FE7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9BA1A"/>
  <w15:chartTrackingRefBased/>
  <w15:docId w15:val="{98C6AE98-3CDA-4094-A0EB-A4EEEA54D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ED6"/>
    <w:pPr>
      <w:ind w:left="720"/>
      <w:contextualSpacing/>
    </w:pPr>
  </w:style>
  <w:style w:type="paragraph" w:styleId="a4">
    <w:name w:val="Balloon Text"/>
    <w:basedOn w:val="a"/>
    <w:link w:val="a5"/>
    <w:uiPriority w:val="99"/>
    <w:semiHidden/>
    <w:unhideWhenUsed/>
    <w:rsid w:val="003E28C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E28C4"/>
    <w:rPr>
      <w:rFonts w:ascii="Segoe UI" w:hAnsi="Segoe UI" w:cs="Segoe UI"/>
      <w:sz w:val="18"/>
      <w:szCs w:val="18"/>
    </w:rPr>
  </w:style>
  <w:style w:type="character" w:styleId="a6">
    <w:name w:val="annotation reference"/>
    <w:basedOn w:val="a0"/>
    <w:uiPriority w:val="99"/>
    <w:semiHidden/>
    <w:unhideWhenUsed/>
    <w:rsid w:val="00A3232C"/>
    <w:rPr>
      <w:sz w:val="16"/>
      <w:szCs w:val="16"/>
    </w:rPr>
  </w:style>
  <w:style w:type="paragraph" w:styleId="a7">
    <w:name w:val="annotation text"/>
    <w:basedOn w:val="a"/>
    <w:link w:val="a8"/>
    <w:uiPriority w:val="99"/>
    <w:semiHidden/>
    <w:unhideWhenUsed/>
    <w:rsid w:val="00A3232C"/>
    <w:pPr>
      <w:spacing w:line="240" w:lineRule="auto"/>
    </w:pPr>
    <w:rPr>
      <w:sz w:val="20"/>
      <w:szCs w:val="20"/>
    </w:rPr>
  </w:style>
  <w:style w:type="character" w:customStyle="1" w:styleId="a8">
    <w:name w:val="Текст примечания Знак"/>
    <w:basedOn w:val="a0"/>
    <w:link w:val="a7"/>
    <w:uiPriority w:val="99"/>
    <w:semiHidden/>
    <w:rsid w:val="00A3232C"/>
    <w:rPr>
      <w:sz w:val="20"/>
      <w:szCs w:val="20"/>
    </w:rPr>
  </w:style>
  <w:style w:type="paragraph" w:styleId="a9">
    <w:name w:val="annotation subject"/>
    <w:basedOn w:val="a7"/>
    <w:next w:val="a7"/>
    <w:link w:val="aa"/>
    <w:uiPriority w:val="99"/>
    <w:semiHidden/>
    <w:unhideWhenUsed/>
    <w:rsid w:val="00A3232C"/>
    <w:rPr>
      <w:b/>
      <w:bCs/>
    </w:rPr>
  </w:style>
  <w:style w:type="character" w:customStyle="1" w:styleId="aa">
    <w:name w:val="Тема примечания Знак"/>
    <w:basedOn w:val="a8"/>
    <w:link w:val="a9"/>
    <w:uiPriority w:val="99"/>
    <w:semiHidden/>
    <w:rsid w:val="00A323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27295">
      <w:bodyDiv w:val="1"/>
      <w:marLeft w:val="0"/>
      <w:marRight w:val="0"/>
      <w:marTop w:val="0"/>
      <w:marBottom w:val="0"/>
      <w:divBdr>
        <w:top w:val="none" w:sz="0" w:space="0" w:color="auto"/>
        <w:left w:val="none" w:sz="0" w:space="0" w:color="auto"/>
        <w:bottom w:val="none" w:sz="0" w:space="0" w:color="auto"/>
        <w:right w:val="none" w:sz="0" w:space="0" w:color="auto"/>
      </w:divBdr>
    </w:div>
    <w:div w:id="452402823">
      <w:bodyDiv w:val="1"/>
      <w:marLeft w:val="0"/>
      <w:marRight w:val="0"/>
      <w:marTop w:val="0"/>
      <w:marBottom w:val="0"/>
      <w:divBdr>
        <w:top w:val="none" w:sz="0" w:space="0" w:color="auto"/>
        <w:left w:val="none" w:sz="0" w:space="0" w:color="auto"/>
        <w:bottom w:val="none" w:sz="0" w:space="0" w:color="auto"/>
        <w:right w:val="none" w:sz="0" w:space="0" w:color="auto"/>
      </w:divBdr>
      <w:divsChild>
        <w:div w:id="667515603">
          <w:marLeft w:val="0"/>
          <w:marRight w:val="0"/>
          <w:marTop w:val="0"/>
          <w:marBottom w:val="0"/>
          <w:divBdr>
            <w:top w:val="none" w:sz="0" w:space="0" w:color="auto"/>
            <w:left w:val="none" w:sz="0" w:space="0" w:color="auto"/>
            <w:bottom w:val="none" w:sz="0" w:space="0" w:color="auto"/>
            <w:right w:val="none" w:sz="0" w:space="0" w:color="auto"/>
          </w:divBdr>
        </w:div>
      </w:divsChild>
    </w:div>
    <w:div w:id="517157499">
      <w:bodyDiv w:val="1"/>
      <w:marLeft w:val="0"/>
      <w:marRight w:val="0"/>
      <w:marTop w:val="0"/>
      <w:marBottom w:val="0"/>
      <w:divBdr>
        <w:top w:val="none" w:sz="0" w:space="0" w:color="auto"/>
        <w:left w:val="none" w:sz="0" w:space="0" w:color="auto"/>
        <w:bottom w:val="none" w:sz="0" w:space="0" w:color="auto"/>
        <w:right w:val="none" w:sz="0" w:space="0" w:color="auto"/>
      </w:divBdr>
    </w:div>
    <w:div w:id="866135826">
      <w:bodyDiv w:val="1"/>
      <w:marLeft w:val="0"/>
      <w:marRight w:val="0"/>
      <w:marTop w:val="0"/>
      <w:marBottom w:val="0"/>
      <w:divBdr>
        <w:top w:val="none" w:sz="0" w:space="0" w:color="auto"/>
        <w:left w:val="none" w:sz="0" w:space="0" w:color="auto"/>
        <w:bottom w:val="none" w:sz="0" w:space="0" w:color="auto"/>
        <w:right w:val="none" w:sz="0" w:space="0" w:color="auto"/>
      </w:divBdr>
    </w:div>
    <w:div w:id="1096439449">
      <w:bodyDiv w:val="1"/>
      <w:marLeft w:val="0"/>
      <w:marRight w:val="0"/>
      <w:marTop w:val="0"/>
      <w:marBottom w:val="0"/>
      <w:divBdr>
        <w:top w:val="none" w:sz="0" w:space="0" w:color="auto"/>
        <w:left w:val="none" w:sz="0" w:space="0" w:color="auto"/>
        <w:bottom w:val="none" w:sz="0" w:space="0" w:color="auto"/>
        <w:right w:val="none" w:sz="0" w:space="0" w:color="auto"/>
      </w:divBdr>
    </w:div>
    <w:div w:id="1138885909">
      <w:bodyDiv w:val="1"/>
      <w:marLeft w:val="0"/>
      <w:marRight w:val="0"/>
      <w:marTop w:val="0"/>
      <w:marBottom w:val="0"/>
      <w:divBdr>
        <w:top w:val="none" w:sz="0" w:space="0" w:color="auto"/>
        <w:left w:val="none" w:sz="0" w:space="0" w:color="auto"/>
        <w:bottom w:val="none" w:sz="0" w:space="0" w:color="auto"/>
        <w:right w:val="none" w:sz="0" w:space="0" w:color="auto"/>
      </w:divBdr>
    </w:div>
    <w:div w:id="1159813344">
      <w:bodyDiv w:val="1"/>
      <w:marLeft w:val="0"/>
      <w:marRight w:val="0"/>
      <w:marTop w:val="0"/>
      <w:marBottom w:val="0"/>
      <w:divBdr>
        <w:top w:val="none" w:sz="0" w:space="0" w:color="auto"/>
        <w:left w:val="none" w:sz="0" w:space="0" w:color="auto"/>
        <w:bottom w:val="none" w:sz="0" w:space="0" w:color="auto"/>
        <w:right w:val="none" w:sz="0" w:space="0" w:color="auto"/>
      </w:divBdr>
    </w:div>
    <w:div w:id="1209878492">
      <w:bodyDiv w:val="1"/>
      <w:marLeft w:val="0"/>
      <w:marRight w:val="0"/>
      <w:marTop w:val="0"/>
      <w:marBottom w:val="0"/>
      <w:divBdr>
        <w:top w:val="none" w:sz="0" w:space="0" w:color="auto"/>
        <w:left w:val="none" w:sz="0" w:space="0" w:color="auto"/>
        <w:bottom w:val="none" w:sz="0" w:space="0" w:color="auto"/>
        <w:right w:val="none" w:sz="0" w:space="0" w:color="auto"/>
      </w:divBdr>
    </w:div>
    <w:div w:id="1338730864">
      <w:bodyDiv w:val="1"/>
      <w:marLeft w:val="0"/>
      <w:marRight w:val="0"/>
      <w:marTop w:val="0"/>
      <w:marBottom w:val="0"/>
      <w:divBdr>
        <w:top w:val="none" w:sz="0" w:space="0" w:color="auto"/>
        <w:left w:val="none" w:sz="0" w:space="0" w:color="auto"/>
        <w:bottom w:val="none" w:sz="0" w:space="0" w:color="auto"/>
        <w:right w:val="none" w:sz="0" w:space="0" w:color="auto"/>
      </w:divBdr>
    </w:div>
    <w:div w:id="1746953332">
      <w:bodyDiv w:val="1"/>
      <w:marLeft w:val="0"/>
      <w:marRight w:val="0"/>
      <w:marTop w:val="0"/>
      <w:marBottom w:val="0"/>
      <w:divBdr>
        <w:top w:val="none" w:sz="0" w:space="0" w:color="auto"/>
        <w:left w:val="none" w:sz="0" w:space="0" w:color="auto"/>
        <w:bottom w:val="none" w:sz="0" w:space="0" w:color="auto"/>
        <w:right w:val="none" w:sz="0" w:space="0" w:color="auto"/>
      </w:divBdr>
    </w:div>
    <w:div w:id="1786388494">
      <w:bodyDiv w:val="1"/>
      <w:marLeft w:val="0"/>
      <w:marRight w:val="0"/>
      <w:marTop w:val="0"/>
      <w:marBottom w:val="0"/>
      <w:divBdr>
        <w:top w:val="none" w:sz="0" w:space="0" w:color="auto"/>
        <w:left w:val="none" w:sz="0" w:space="0" w:color="auto"/>
        <w:bottom w:val="none" w:sz="0" w:space="0" w:color="auto"/>
        <w:right w:val="none" w:sz="0" w:space="0" w:color="auto"/>
      </w:divBdr>
    </w:div>
    <w:div w:id="1790664577">
      <w:bodyDiv w:val="1"/>
      <w:marLeft w:val="0"/>
      <w:marRight w:val="0"/>
      <w:marTop w:val="0"/>
      <w:marBottom w:val="0"/>
      <w:divBdr>
        <w:top w:val="none" w:sz="0" w:space="0" w:color="auto"/>
        <w:left w:val="none" w:sz="0" w:space="0" w:color="auto"/>
        <w:bottom w:val="none" w:sz="0" w:space="0" w:color="auto"/>
        <w:right w:val="none" w:sz="0" w:space="0" w:color="auto"/>
      </w:divBdr>
    </w:div>
    <w:div w:id="1951862562">
      <w:bodyDiv w:val="1"/>
      <w:marLeft w:val="0"/>
      <w:marRight w:val="0"/>
      <w:marTop w:val="0"/>
      <w:marBottom w:val="0"/>
      <w:divBdr>
        <w:top w:val="none" w:sz="0" w:space="0" w:color="auto"/>
        <w:left w:val="none" w:sz="0" w:space="0" w:color="auto"/>
        <w:bottom w:val="none" w:sz="0" w:space="0" w:color="auto"/>
        <w:right w:val="none" w:sz="0" w:space="0" w:color="auto"/>
      </w:divBdr>
    </w:div>
    <w:div w:id="2071150337">
      <w:bodyDiv w:val="1"/>
      <w:marLeft w:val="0"/>
      <w:marRight w:val="0"/>
      <w:marTop w:val="0"/>
      <w:marBottom w:val="0"/>
      <w:divBdr>
        <w:top w:val="none" w:sz="0" w:space="0" w:color="auto"/>
        <w:left w:val="none" w:sz="0" w:space="0" w:color="auto"/>
        <w:bottom w:val="none" w:sz="0" w:space="0" w:color="auto"/>
        <w:right w:val="none" w:sz="0" w:space="0" w:color="auto"/>
      </w:divBdr>
      <w:divsChild>
        <w:div w:id="438112014">
          <w:marLeft w:val="0"/>
          <w:marRight w:val="0"/>
          <w:marTop w:val="0"/>
          <w:marBottom w:val="0"/>
          <w:divBdr>
            <w:top w:val="none" w:sz="0" w:space="0" w:color="auto"/>
            <w:left w:val="none" w:sz="0" w:space="0" w:color="auto"/>
            <w:bottom w:val="none" w:sz="0" w:space="0" w:color="auto"/>
            <w:right w:val="none" w:sz="0" w:space="0" w:color="auto"/>
          </w:divBdr>
        </w:div>
        <w:div w:id="217863007">
          <w:marLeft w:val="0"/>
          <w:marRight w:val="0"/>
          <w:marTop w:val="0"/>
          <w:marBottom w:val="0"/>
          <w:divBdr>
            <w:top w:val="none" w:sz="0" w:space="0" w:color="auto"/>
            <w:left w:val="none" w:sz="0" w:space="0" w:color="auto"/>
            <w:bottom w:val="none" w:sz="0" w:space="0" w:color="auto"/>
            <w:right w:val="none" w:sz="0" w:space="0" w:color="auto"/>
          </w:divBdr>
          <w:divsChild>
            <w:div w:id="1336765358">
              <w:marLeft w:val="0"/>
              <w:marRight w:val="0"/>
              <w:marTop w:val="0"/>
              <w:marBottom w:val="0"/>
              <w:divBdr>
                <w:top w:val="none" w:sz="0" w:space="0" w:color="auto"/>
                <w:left w:val="none" w:sz="0" w:space="0" w:color="auto"/>
                <w:bottom w:val="none" w:sz="0" w:space="0" w:color="auto"/>
                <w:right w:val="none" w:sz="0" w:space="0" w:color="auto"/>
              </w:divBdr>
              <w:divsChild>
                <w:div w:id="2328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27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3155</Words>
  <Characters>17984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2026-10-12T14:06:00Z</dcterms:created>
  <dcterms:modified xsi:type="dcterms:W3CDTF">2026-10-12T14:06:00Z</dcterms:modified>
</cp:coreProperties>
</file>