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1.xml" ContentType="application/vnd.openxmlformats-officedocument.wordprocessingml.header+xml"/>
  <Override PartName="/customXml/item1.xml" ContentType="application/xml"/>
  <Override PartName="/customXml/itemProps1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718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570"/>
      </w:tblGrid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5 к Контракту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объекта закупки (Техническое задание).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/>
        <w:spacing/>
        <w:ind/>
        <w:rPr/>
      </w:pPr>
      <w:r/>
      <w:bookmarkStart w:name="FirstTable" w:id="0"/>
      <w:r/>
      <w:bookmarkEnd w:id="0"/>
      <w:r/>
      <w:r/>
    </w:p>
    <w:tbl>
      <w:tblPr>
        <w:tblBorders/>
        <w:tblW w:w="14592" w:type="dxa"/>
        <w:tblLayout w:type="fixed"/>
        <w:tblInd w:w="0" w:type="dxa"/>
      </w:tblPr>
      <w:tblGrid>
        <w:gridCol w:w="1270"/>
        <w:gridCol w:w="13281"/>
      </w:tblGrid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 Раздел. Общие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Наименование предмета закупки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Поставка шредера и масла для шредера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Коды и наименования ОКПД2 / КТРУ / КОЗ 2, используемые при описании объекта закупки (далее – Товар)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b/>
                <w:sz w:val="28"/>
              </w:rPr>
              <w:t xml:space="preserve">-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Количество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В соответствии с разделом «Объекты закупки» приложения «Сведения об объектах закупки» к Контракту.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Место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«Место доставки товара» приложения «Сведения об обязательствах сторон и порядке оплаты»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 Раздел. Требования к порядку взаимодействия сторон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Взаимодействие сторон осуществляется в следующем порядке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В целях обеспечения взаимодействия при исполнении Контракта Поставщик и Заказчик определяют представителей, ответственных за взаимодействие по вопросам исполнения Контракта, в том числе за направление и получение сведений и документов, предусмотренных настоящим Техническим заданием (далее – ответственные представители).</w:t>
              <w:br/>
              <w:t xml:space="preserve">2. Сведения об ответственных представителях предоставляются Сторонами в порядке и сроки, установленные Контрактом и предусмотренным им порядком информационного взаимодействия, в том числе с использованием ПИК ЕАСУЗ. В случае если Контрактом и (или) обязательным функционалом ПИК ЕАСУЗ соответствующий порядок не установлен, такие сведения направляются на адрес электронной почты, указанный в разделе «Адреса, реквизиты и подписи Сторон» Контракта.</w:t>
              <w:br/>
              <w:t xml:space="preserve">3. В случае замены ответственного представителя, в том числе временной, сведения о новом ответственном представителе направляются другой Стороне в порядке, предусмотренном пунктом 2 настоящего раздела, в день такой замены.</w:t>
              <w:br/>
              <w:t xml:space="preserve">4. Порядок направления и проверки сведений и документов:</w:t>
              <w:br/>
              <w:t xml:space="preserve">1) документы и сведения, формирование и (или) направление которых с использованием единой информационной системы в сфере закупок (ЕИС) и (или) ПИК ЕАСУЗ предусмотрено законодательством Российской Федерации или Контрактом, формируются и направляются соответствующим способом. В иных случаях, если иной способ не установлен Контрактом или настоящим Техническим заданием, сведения и документы, предусмотренные настоящим Техническим заданием, направляются посредством электронной почты по адресам, указанным в разделе «Адреса, реквизиты и подписи Сторон» Контракта;</w:t>
              <w:br/>
              <w:t xml:space="preserve">2) при направлении сведений и документов должны соблюдаться требования настоящего Технического задания к форме и (или) формату их предоставления, если такие требования установлены;</w:t>
              <w:br/>
              <w:t xml:space="preserve">3) в случае если настоящим Техническим заданием предусмотрена проверка Заказчиком представляемых Поставщиком сведений и документов, такая проверка осуществляется в течение 5 (пяти) рабочих дней со дня их получения Заказчиком, если иной срок не установлен законодательством Российской Федерации, Контрактом или соответствующим требованием настоящего Технического задания;</w:t>
              <w:br/>
              <w:t xml:space="preserve">4) при необходимости передач и сведений и документов на бумажном носителе и (или) съемном электронном носителе информации, если такая форма передачи предусмотрена настоящим Техническим заданием, Контрактом или законодательством Российской Федерации, ответственные представители согласовывают дату, время и место такой передачи;</w:t>
              <w:br/>
              <w:t xml:space="preserve">5) отсутствие уведомления Заказчика о положительном результате проверки сведений и документов, подлежащих проверке в соответствии с настоящим Техническим заданием, не является подтверждением их соответствия установленным требованиям;</w:t>
              <w:br/>
              <w:t xml:space="preserve">6) уведомление о выявленном по результатам проверки несоответствии должно содержать указание на выявленные несоответствия и требования настоящего Технического задания и (или) Контракта, которым представленные сведения и документы не соответствуют. Устранение выявленных несоответствий осуществляется в порядке и сроки, установленные соответствующим требованием настоящего Технического задания и (или) Контрактом.</w:t>
              <w:br/>
              <w:t xml:space="preserve">5. Положения настоящего раздела не применяются в случаях, когда законодательством Российской Федерации или Контрактом установлен специальный порядок формирования, подписания, направления, размещения или обмена соответствующими сведениями и документами.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III Раздел. Требования к условиям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Общие требования к Товару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Поставляемый Товар должен: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 если иное не предусмотрено описанием объекта закупки;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соответствовать требованиям действующих государственных и международных стандартов и других нормативных актов Российской Федерации, требованиям безопасности, функциональным и качественным характеристикам для данной группы товаров применяемых исключительно в действующей редакции, с учетом изменений и дополнений, в том числе согласно актам, указанным в IX Разделе настоящего Технического задания;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соответствовать по качеству и потребительским свойствам сертификатам, свидетельствам и паспортам качества производителей, декларациям о соответствии, действующим на территории Российской Федерации (в случае если в отношении данной группы товаров установлено требование об обязательном подтверждении соответствия);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В сопроводительной документации на Товар, на этикетке маркировкой или иным способом должны быть указаны специальные правила, если для безопасного использования Товара, его хранения, транспортировки их необходимо соблюдать.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Уборка и вывоз тары, упаковки (включая вспомогательные упаковочные средства) производится силами Поставщика в соответствии с условиями Контракта.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Поставляемый по Контракту Товар не должен находиться в залоге, под арестом или под иным обременением.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безопасности и качеству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Товар должен соответствовать требованиям безопасности, экологическим требованиям и техническим характеристикам в соответствии с нормативно-правовыми актами, указанными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4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Соответствие качества и безопасности товара должно быть подтверждено: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Товар должен быть разрешен к применению на территории Российской Федерации и сопровождаться сертификатом соответствия и (или) декларацией о соответствии, подтверждающими его соответствие установленным требованиям для продукции, включенной в перечень продукции, подлежащей обязательной сертификации.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упаковке и маркировке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Для обеспечения высокого качества поставок и соблюдения законодательных требований, упаковка и маркировка поставляемых товаров должны отвечать следующим требованиям: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1. Упаковка должна обеспечивать сохранность товара при транспортировке и хранении, быть чистой, герметичной, без повреждений соответствовать требованиям нормативно-правового акта, указанного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3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К каждой партии товара прилагается упаковочный лист (упаковочная спецификация) в двух экземплярах, в котором указываются: наименование продукции, количество, вес -нетто и -брутто, номер и дата Контракта или заказа.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Упаковочный лист должен содержать описание упаковочных материалов и подтверждение соответствия требованиям стандартов, включая данные об условиях хранения и транспортировки.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Упаковочная документация должна сопровождать всю грузовую партию и передаваться ответственному лицу при приемке.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Упаковка должна обеспечивать целостность и сохранность товара в течение всего срока транспортирования и хранения, быть выполнена из экологичных и прочных материалов. Все элементы упаковки должны быть защищены от повреждений, влаги, загрязнений и других негативных воздействий.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Маркировка товара должна соответствовать нормативно-правовому акту, указанному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6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Маркировка упаковки должна содержать указания по обращению с грузом (символы «Хрупкое», «Беречь от влаги», «Верх», температурные ограничения и другие) согласно нормативно-правовым актам, указанным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2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6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 и другим нормативным актам, регулирующим безопасность упаковки и её обращение.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8. Все надписи, символы, пиктограммы должны соответствовать требованиям нормативно-правового указанного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2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информация должна наноситься разборчивым и устойчивым к воздействию окружающей среды шрифтом.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на упаковках и этикетках должны присутствовать инструкции по безопасной утилизации упаковки и предупреждения о возможных рисках.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9. Маркировка должна содержать полную и достоверную информацию, позволяющую идентифицировать товар и производителя, а также обеспечить безопасность использования.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Обязательная информация на маркировке и упаковке товара включает: наименование, назначение и область применения, размер (если применимо), количество единиц в комплекте поставки, дату изготовления, срок хранения или срок годности к применению, страну происхождения, при наличии товарного знака – его обозначение, юридический адрес изготовителя (а для импортного товара – также адрес импортёра), номер сертификата соответствия или номер декларации о соответствии установленным требованиям безопасности, а также ссылку на инструкцию по правильному хранению и эксплуатации, при этом вся информация должна быть на русском языке (допускается дублирование на иностранных языках при условии полного перевода на русский).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10. Маркировка должна включать обязательные знаки соответствия установленным стандартам (например, знак ЕАС) и, при наличии соответствующих свойств, экологические маркировки (если применимо).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11. Допускается дублирование маркировочных знаков в сопроводительной документации.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условиям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Поставка Товара осуществляется в порядке и сроки, установленные в разделе «Обязательства по поставке товара» приложения 2 к Контракту. </w:t>
              <w:br/>
              <w:t xml:space="preserve">2. Поставка должна включать в себя доставку, погрузо-разгрузочные работы, Поставщик на момент поставки должен предоставить копию сертификата соответствия в случае, если продукция подлежит обязательной сертификации, или копию декларации о соответствии.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4.1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Дополнительные требования к условиям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b/>
                <w:sz w:val="28"/>
              </w:rPr>
              <w:t xml:space="preserve">-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IV Раздел. Срок  (график) место, объемы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Срок (график), место, объемы поставки товаров (выполнения работ, оказания услуг) определены в приложении 2 к Контракту.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 Раздел. Информация о месте, датах начала и окончания, порядке и графике осмотра участником закупки образца или макета товара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о соответствии поставляемого товара образцу или макету товара не установлены.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 Раздел. Функциональные, технические, качественные, эксплуатационные характеристики товаров, подлежащих поставке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Порядок указания характеристик поставляемых товаров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Приведены в Приложении № 1 к Описанию объекта закупки (Техническому заданию). Требования к функциональным, техническим и качественным, эксплуатационным характеристикам товара.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 Раздел. Дополнительные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Приемка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Порядок и сроки осуществления приемки поставленного товара установлены в разделе «Порядок и сроки осуществления приемки и оформления результатов» Приложения 2 к Контракту. </w:t>
              <w:br/>
              <w:t xml:space="preserve">2. Перечень и сроки предоставления отчетной документации установлены в Приложении 3 к Контракту «Перечень документов, которыми обмениваются стороны при исполнении контракта».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1.1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Дополнительные требования к приемке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b/>
                <w:sz w:val="28"/>
              </w:rPr>
              <w:t xml:space="preserve">-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VIII Раздел. Требования к гарантии качества товара, работы, услуги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Гарантийные обязательства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Гарантийный срок на поставляемые товары указан в разделе «Сведения о гарантии качества товара, работы, услуги» приложения 1 к Контракту. </w:t>
              <w:br/>
              <w:t xml:space="preserve">2. Гарантийный срок начинает исчисляться с даты подписания или утверждения Заказчиком документа о приемке, указанного в разделе «Порядок и сроки осуществления приемки и оформления результатов» приложения 2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IX Раздел. Перечень правовых актов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«Маркировка грузов» ГОСТ 14192-96 от 18.06.1997.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«Упаковка. Маркировка, указывающая на способ обращения с грузами» ГОСТ 34757-2021 от 14.09.2021.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Упаковка. Термины и определения» ГОСТ 17527-2020.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Коллегии Евразийской экономической комиссии «Об утверждении перечня продукции, подлежащей обязательной оценке соответствия требованиям технического регламента Таможенного союза «О безопасности низковольтного оборудования» (ТР ТС 004/2011), в отношении которой при помещении под таможенные процедуры подтверждается соблюдение мер технического регулирования» № 91 от 24.04.2013.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Комиссии Таможенного союза «О принятии технического регламента Таможенного союза «О безопасности низковольтного оборудования» (вместе с «ТР ТС 004/2011. Технический регламент Таможенного Союза. О безопасности низковольтного оборудования») № 768 от 16.08.2011.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союза. «О безопасности упаковки, принятый решением Комиссии Таможенного союза» ТР ТС 005/2011 от 16.08.2011.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X Раздел. Приложения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Приложения к настоящему Описанию объекта закупки (Техническому заданию) при их наличии оформляются отдельными файлами и являются его неотъемлемой частью.</w:t>
            </w:r>
          </w:p>
        </w:tc>
      </w:tr>
      <w:tr>
        <w:tc>
          <w:p/>
        </w:tc>
        <w:tc>
          <w:p/>
        </w:tc>
      </w:tr>
    </w:tbl>
    <w:sectPr>
      <w:headerReference w:type="default" r:id="rId9"/>
      <w:footnotePr/>
      <w:endnotePr/>
      <w:type w:val="nextPage"/>
      <w:pgSz w:w="16838" w:h="11906" w:orient="landscape"/>
      <w:pgMar w:top="1134" w:right="1134" w:bottom="850" w:left="1134" w:header="708" w:footer="708" w:gutter="0"/>
      <w:cols w:equalWidth="1" w:space="708" w:num="1" w:sep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  <w:pBdr/>
      <w:spacing/>
      <w:ind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</w:r>
    <w:r>
      <w:rPr>
        <w:rFonts w:ascii="Times New Roman" w:hAnsi="Times New Roman" w:cs="Times New Roman"/>
        <w:b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1277EB"/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doNotExpandShiftReturn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12"/>
    <w:next w:val="712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12"/>
    <w:next w:val="712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12"/>
    <w:next w:val="712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12"/>
    <w:next w:val="712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12"/>
    <w:next w:val="712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12"/>
    <w:next w:val="71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12"/>
    <w:next w:val="71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12"/>
    <w:next w:val="71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12"/>
    <w:next w:val="71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13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13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13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13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13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13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13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13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13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12"/>
    <w:next w:val="712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13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12"/>
    <w:next w:val="712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13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12"/>
    <w:next w:val="71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13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12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12"/>
    <w:next w:val="71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13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1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13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13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13"/>
    <w:link w:val="719"/>
    <w:uiPriority w:val="99"/>
    <w:pPr>
      <w:pBdr/>
      <w:spacing/>
      <w:ind/>
    </w:pPr>
  </w:style>
  <w:style w:type="character" w:styleId="179">
    <w:name w:val="Footer Char"/>
    <w:basedOn w:val="713"/>
    <w:link w:val="721"/>
    <w:uiPriority w:val="99"/>
    <w:pPr>
      <w:pBdr/>
      <w:spacing/>
      <w:ind/>
    </w:pPr>
  </w:style>
  <w:style w:type="paragraph" w:styleId="180">
    <w:name w:val="Caption"/>
    <w:basedOn w:val="712"/>
    <w:next w:val="71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82">
    <w:name w:val="Footnote Text Char"/>
    <w:basedOn w:val="713"/>
    <w:link w:val="725"/>
    <w:uiPriority w:val="99"/>
    <w:semiHidden/>
    <w:pPr>
      <w:pBdr/>
      <w:spacing/>
      <w:ind/>
    </w:pPr>
    <w:rPr>
      <w:sz w:val="20"/>
      <w:szCs w:val="20"/>
    </w:rPr>
  </w:style>
  <w:style w:type="paragraph" w:styleId="184">
    <w:name w:val="endnote text"/>
    <w:basedOn w:val="71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13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2"/>
    <w:next w:val="712"/>
    <w:uiPriority w:val="39"/>
    <w:unhideWhenUsed/>
    <w:pPr>
      <w:pBdr/>
      <w:spacing w:after="100"/>
      <w:ind/>
    </w:pPr>
  </w:style>
  <w:style w:type="paragraph" w:styleId="190">
    <w:name w:val="toc 2"/>
    <w:basedOn w:val="712"/>
    <w:next w:val="712"/>
    <w:uiPriority w:val="39"/>
    <w:unhideWhenUsed/>
    <w:pPr>
      <w:pBdr/>
      <w:spacing w:after="100"/>
      <w:ind w:left="220"/>
    </w:pPr>
  </w:style>
  <w:style w:type="paragraph" w:styleId="191">
    <w:name w:val="toc 3"/>
    <w:basedOn w:val="712"/>
    <w:next w:val="712"/>
    <w:uiPriority w:val="39"/>
    <w:unhideWhenUsed/>
    <w:pPr>
      <w:pBdr/>
      <w:spacing w:after="100"/>
      <w:ind w:left="440"/>
    </w:pPr>
  </w:style>
  <w:style w:type="paragraph" w:styleId="192">
    <w:name w:val="toc 4"/>
    <w:basedOn w:val="712"/>
    <w:next w:val="712"/>
    <w:uiPriority w:val="39"/>
    <w:unhideWhenUsed/>
    <w:pPr>
      <w:pBdr/>
      <w:spacing w:after="100"/>
      <w:ind w:left="660"/>
    </w:pPr>
  </w:style>
  <w:style w:type="paragraph" w:styleId="193">
    <w:name w:val="toc 5"/>
    <w:basedOn w:val="712"/>
    <w:next w:val="712"/>
    <w:uiPriority w:val="39"/>
    <w:unhideWhenUsed/>
    <w:pPr>
      <w:pBdr/>
      <w:spacing w:after="100"/>
      <w:ind w:left="880"/>
    </w:pPr>
  </w:style>
  <w:style w:type="paragraph" w:styleId="194">
    <w:name w:val="toc 6"/>
    <w:basedOn w:val="712"/>
    <w:next w:val="712"/>
    <w:uiPriority w:val="39"/>
    <w:unhideWhenUsed/>
    <w:pPr>
      <w:pBdr/>
      <w:spacing w:after="100"/>
      <w:ind w:left="1100"/>
    </w:pPr>
  </w:style>
  <w:style w:type="paragraph" w:styleId="195">
    <w:name w:val="toc 7"/>
    <w:basedOn w:val="712"/>
    <w:next w:val="712"/>
    <w:uiPriority w:val="39"/>
    <w:unhideWhenUsed/>
    <w:pPr>
      <w:pBdr/>
      <w:spacing w:after="100"/>
      <w:ind w:left="1320"/>
    </w:pPr>
  </w:style>
  <w:style w:type="paragraph" w:styleId="196">
    <w:name w:val="toc 8"/>
    <w:basedOn w:val="712"/>
    <w:next w:val="712"/>
    <w:uiPriority w:val="39"/>
    <w:unhideWhenUsed/>
    <w:pPr>
      <w:pBdr/>
      <w:spacing w:after="100"/>
      <w:ind w:left="1540"/>
    </w:pPr>
  </w:style>
  <w:style w:type="paragraph" w:styleId="197">
    <w:name w:val="toc 9"/>
    <w:basedOn w:val="712"/>
    <w:next w:val="71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13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2"/>
    <w:next w:val="712"/>
    <w:uiPriority w:val="99"/>
    <w:unhideWhenUsed/>
    <w:pPr>
      <w:pBdr/>
      <w:spacing w:after="0" w:afterAutospacing="0"/>
      <w:ind/>
    </w:pPr>
  </w:style>
  <w:style w:type="paragraph" w:styleId="712" w:default="1">
    <w:name w:val="Normal"/>
    <w:qFormat/>
    <w:pPr>
      <w:pBdr/>
      <w:spacing/>
      <w:ind/>
    </w:pPr>
  </w:style>
  <w:style w:type="character" w:styleId="713" w:default="1">
    <w:name w:val="Default Paragraph Font"/>
    <w:uiPriority w:val="1"/>
    <w:semiHidden/>
    <w:unhideWhenUsed/>
    <w:pPr>
      <w:pBdr/>
      <w:spacing/>
      <w:ind/>
    </w:pPr>
  </w:style>
  <w:style w:type="table" w:styleId="7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15" w:default="1">
    <w:name w:val="No List"/>
    <w:uiPriority w:val="99"/>
    <w:semiHidden/>
    <w:unhideWhenUsed/>
    <w:pPr>
      <w:pBdr/>
      <w:spacing/>
      <w:ind/>
    </w:pPr>
  </w:style>
  <w:style w:type="paragraph" w:styleId="716" w:customStyle="1">
    <w:name w:val="ConsPlusNormal"/>
    <w:pPr>
      <w:widowControl w:val="false"/>
      <w:pBdr/>
      <w:spacing w:after="0" w:line="240" w:lineRule="auto"/>
      <w:ind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717" w:customStyle="1">
    <w:name w:val="ConsPlusNonformat"/>
    <w:uiPriority w:val="99"/>
    <w:pPr>
      <w:widowControl w:val="false"/>
      <w:pBdr/>
      <w:spacing w:after="0" w:line="240" w:lineRule="auto"/>
      <w:ind/>
    </w:pPr>
    <w:rPr>
      <w:rFonts w:ascii="Courier New" w:hAnsi="Courier New" w:cs="Courier New" w:eastAsiaTheme="minorEastAsia"/>
      <w:sz w:val="20"/>
      <w:szCs w:val="20"/>
      <w:lang w:eastAsia="ru-RU"/>
    </w:rPr>
  </w:style>
  <w:style w:type="table" w:styleId="718">
    <w:name w:val="Table Grid"/>
    <w:basedOn w:val="714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19">
    <w:name w:val="Header"/>
    <w:basedOn w:val="712"/>
    <w:link w:val="72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0" w:customStyle="1">
    <w:name w:val="Верхний колонтитул Знак"/>
    <w:basedOn w:val="713"/>
    <w:link w:val="719"/>
    <w:uiPriority w:val="99"/>
    <w:pPr>
      <w:pBdr/>
      <w:spacing/>
      <w:ind/>
    </w:pPr>
  </w:style>
  <w:style w:type="paragraph" w:styleId="721">
    <w:name w:val="Footer"/>
    <w:basedOn w:val="712"/>
    <w:link w:val="722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2" w:customStyle="1">
    <w:name w:val="Нижний колонтитул Знак"/>
    <w:basedOn w:val="713"/>
    <w:link w:val="721"/>
    <w:uiPriority w:val="99"/>
    <w:pPr>
      <w:pBdr/>
      <w:spacing/>
      <w:ind/>
    </w:pPr>
  </w:style>
  <w:style w:type="character" w:styleId="723" w:customStyle="1">
    <w:name w:val="Основной текст_"/>
    <w:link w:val="724"/>
    <w:pPr>
      <w:pBdr/>
      <w:spacing/>
      <w:ind/>
    </w:pPr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724" w:customStyle="1">
    <w:name w:val="Основной текст7"/>
    <w:basedOn w:val="712"/>
    <w:link w:val="723"/>
    <w:pPr>
      <w:pBdr/>
      <w:shd w:val="clear" w:color="auto" w:fill="ffffff"/>
      <w:spacing w:after="0" w:before="6660" w:line="254" w:lineRule="exact"/>
      <w:ind/>
      <w:jc w:val="center"/>
    </w:pPr>
    <w:rPr>
      <w:rFonts w:ascii="Times New Roman" w:hAnsi="Times New Roman" w:cs="Times New Roman"/>
      <w:sz w:val="21"/>
      <w:szCs w:val="21"/>
    </w:rPr>
  </w:style>
  <w:style w:type="paragraph" w:styleId="725">
    <w:name w:val="footnote text"/>
    <w:basedOn w:val="712"/>
    <w:link w:val="726"/>
    <w:uiPriority w:val="99"/>
    <w:unhideWhenUsed/>
    <w:qFormat/>
    <w:pPr>
      <w:pBdr/>
      <w:spacing w:after="0" w:line="240" w:lineRule="auto"/>
      <w:ind/>
    </w:pPr>
    <w:rPr>
      <w:sz w:val="20"/>
      <w:szCs w:val="20"/>
    </w:rPr>
  </w:style>
  <w:style w:type="character" w:styleId="726" w:customStyle="1">
    <w:name w:val="Текст сноски Знак"/>
    <w:basedOn w:val="713"/>
    <w:link w:val="725"/>
    <w:uiPriority w:val="99"/>
    <w:pPr>
      <w:pBdr/>
      <w:spacing/>
      <w:ind/>
    </w:pPr>
    <w:rPr>
      <w:sz w:val="20"/>
      <w:szCs w:val="20"/>
    </w:rPr>
  </w:style>
  <w:style w:type="character" w:styleId="727">
    <w:name w:val="foot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728">
    <w:name w:val="annotation reference"/>
    <w:basedOn w:val="7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29">
    <w:name w:val="annotation text"/>
    <w:basedOn w:val="712"/>
    <w:link w:val="730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730" w:customStyle="1">
    <w:name w:val="Текст примечания Знак"/>
    <w:basedOn w:val="713"/>
    <w:link w:val="729"/>
    <w:uiPriority w:val="99"/>
    <w:pPr>
      <w:pBdr/>
      <w:spacing/>
      <w:ind/>
    </w:pPr>
    <w:rPr>
      <w:sz w:val="20"/>
      <w:szCs w:val="20"/>
    </w:rPr>
  </w:style>
  <w:style w:type="paragraph" w:styleId="731">
    <w:name w:val="annotation subject"/>
    <w:basedOn w:val="729"/>
    <w:next w:val="729"/>
    <w:link w:val="732"/>
    <w:uiPriority w:val="99"/>
    <w:semiHidden/>
    <w:unhideWhenUsed/>
    <w:pPr>
      <w:pBdr/>
      <w:spacing/>
      <w:ind/>
    </w:pPr>
    <w:rPr>
      <w:b/>
      <w:bCs/>
    </w:rPr>
  </w:style>
  <w:style w:type="character" w:styleId="732" w:customStyle="1">
    <w:name w:val="Тема примечания Знак"/>
    <w:basedOn w:val="730"/>
    <w:link w:val="731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733">
    <w:name w:val="Balloon Text"/>
    <w:basedOn w:val="712"/>
    <w:link w:val="734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734" w:customStyle="1">
    <w:name w:val="Текст выноски Знак"/>
    <w:basedOn w:val="713"/>
    <w:link w:val="733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735">
    <w:name w:val="Revision"/>
    <w:hidden/>
    <w:uiPriority w:val="99"/>
    <w:semiHidden/>
    <w:pPr>
      <w:pBdr/>
      <w:spacing w:after="0" w:line="240" w:lineRule="auto"/>
      <w:ind/>
    </w:pPr>
  </w:style>
  <w:style w:type="character" w:styleId="736">
    <w:name w:val="Hyperlink"/>
    <w:basedOn w:val="713"/>
    <w:uiPriority w:val="99"/>
    <w:unhideWhenUsed/>
    <w:pPr>
      <w:pBdr/>
      <w:spacing/>
      <w:ind/>
    </w:pPr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settings" Target="/word/settings.xml" Id="rId2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4" /><Relationship Type="http://schemas.openxmlformats.org/officeDocument/2006/relationships/theme" Target="/word/theme/theme11.xml" Id="rId5" /><Relationship Type="http://schemas.openxmlformats.org/officeDocument/2006/relationships/numbering" Target="/word/numbering.xml" Id="rId6" /><Relationship Type="http://schemas.openxmlformats.org/officeDocument/2006/relationships/footnotes" Target="/word/footnotes.xml" Id="rId7" /><Relationship Type="http://schemas.openxmlformats.org/officeDocument/2006/relationships/endnotes" Target="/word/endnotes.xml" Id="rId8" /><Relationship Type="http://schemas.openxmlformats.org/officeDocument/2006/relationships/header" Target="/word/header11.xml" Id="rId9" /><Relationship Type="http://schemas.openxmlformats.org/officeDocument/2006/relationships/customXml" Target="/customXml/item1.xml" Id="rId10" /></Relationships>
</file>

<file path=word/theme/theme1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3CDBBD55-D9AE-478F-8C96-86A0E4351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revision>69</cp:revision>
  <dcterms:created xsi:type="dcterms:W3CDTF">2022-05-31T20:41:00Z</dcterms:created>
  <dcterms:modified xsi:type="dcterms:W3CDTF">2025-09-24T10:59:52Z</dcterms:modified>
</cp:coreProperties>
</file>