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line="240" w:lineRule="auto"/>
        <w:tabs>
          <w:tab w:val="right" w:pos="1046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Приложение 5 к контракту</w:t>
      </w:r>
      <w:r/>
    </w:p>
    <w:p>
      <w:pPr>
        <w:jc w:val="right"/>
        <w:spacing w:line="240" w:lineRule="auto"/>
        <w:tabs>
          <w:tab w:val="right" w:pos="1046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«____» __________20____г. №_____</w:t>
      </w:r>
      <w:r/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Техническое задание</w:t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приобретение товара для ремонта кровли (герметик)  для нужд МБУ «ЭО мо Серебряные Пруды»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Наименование объекта закупки: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Приобретение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товара 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ремонта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кровли</w:t>
      </w:r>
      <w:r>
        <w:rPr>
          <w:rFonts w:ascii="Times New Roman" w:hAnsi="Times New Roman" w:cs="Times New Roman"/>
          <w:sz w:val="24"/>
          <w:szCs w:val="24"/>
        </w:rPr>
        <w:t xml:space="preserve"> (герметик)</w:t>
      </w:r>
      <w:r/>
    </w:p>
    <w:p>
      <w:pPr>
        <w:jc w:val="both"/>
        <w:spacing w:after="0"/>
        <w:tabs>
          <w:tab w:val="left" w:pos="6825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Style w:val="825"/>
          <w:rFonts w:ascii="Times New Roman" w:hAnsi="Times New Roman" w:cs="Times New Roman"/>
          <w:b/>
          <w:sz w:val="24"/>
          <w:szCs w:val="24"/>
        </w:rPr>
        <w:t xml:space="preserve">Заказчик: </w:t>
      </w:r>
      <w:r>
        <w:rPr>
          <w:rFonts w:ascii="Times New Roman" w:hAnsi="Times New Roman" w:cs="Times New Roman"/>
          <w:b/>
          <w:sz w:val="24"/>
          <w:szCs w:val="24"/>
        </w:rPr>
        <w:t xml:space="preserve">М</w:t>
      </w:r>
      <w:r>
        <w:rPr>
          <w:rFonts w:ascii="Times New Roman" w:hAnsi="Times New Roman" w:cs="Times New Roman"/>
          <w:b/>
          <w:sz w:val="24"/>
          <w:szCs w:val="24"/>
        </w:rPr>
        <w:t xml:space="preserve">Б</w:t>
      </w:r>
      <w:r>
        <w:rPr>
          <w:rFonts w:ascii="Times New Roman" w:hAnsi="Times New Roman" w:cs="Times New Roman"/>
          <w:b/>
          <w:sz w:val="24"/>
          <w:szCs w:val="24"/>
        </w:rPr>
        <w:t xml:space="preserve">У «</w:t>
      </w:r>
      <w:r>
        <w:rPr>
          <w:rFonts w:ascii="Times New Roman" w:hAnsi="Times New Roman" w:cs="Times New Roman"/>
          <w:b/>
          <w:sz w:val="24"/>
          <w:szCs w:val="24"/>
        </w:rPr>
        <w:t xml:space="preserve">Э</w:t>
      </w: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sz w:val="24"/>
          <w:szCs w:val="24"/>
        </w:rPr>
        <w:t xml:space="preserve">м</w:t>
      </w:r>
      <w:r>
        <w:rPr>
          <w:rFonts w:ascii="Times New Roman" w:hAnsi="Times New Roman" w:cs="Times New Roman"/>
          <w:b/>
          <w:sz w:val="24"/>
          <w:szCs w:val="24"/>
        </w:rPr>
        <w:t xml:space="preserve">о Серебряные Пруды».</w:t>
      </w:r>
      <w:r/>
    </w:p>
    <w:p>
      <w:pPr>
        <w:pStyle w:val="826"/>
        <w:jc w:val="both"/>
        <w:spacing w:before="0" w:beforeAutospacing="0" w:after="0" w:afterAutospacing="0" w:line="276" w:lineRule="auto"/>
        <w:rPr>
          <w:b/>
        </w:rPr>
      </w:pPr>
      <w:r>
        <w:rPr>
          <w:rStyle w:val="827"/>
          <w:b/>
        </w:rPr>
        <w:t xml:space="preserve">3.​ </w:t>
      </w:r>
      <w:r>
        <w:rPr>
          <w:rStyle w:val="825"/>
          <w:b/>
        </w:rPr>
        <w:t xml:space="preserve">Сроки оказания услуги</w:t>
      </w:r>
      <w:r>
        <w:rPr>
          <w:rStyle w:val="825"/>
          <w:b/>
        </w:rPr>
        <w:t xml:space="preserve">:</w:t>
      </w:r>
      <w:r>
        <w:rPr>
          <w:b/>
          <w:color w:val="000000"/>
        </w:rPr>
        <w:t xml:space="preserve"> в течение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 xml:space="preserve">5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 xml:space="preserve">(</w:t>
      </w:r>
      <w:r>
        <w:rPr>
          <w:b/>
          <w:color w:val="000000"/>
        </w:rPr>
        <w:t xml:space="preserve">пяти</w:t>
      </w:r>
      <w:r>
        <w:rPr>
          <w:b/>
          <w:color w:val="000000"/>
        </w:rPr>
        <w:t xml:space="preserve">) рабоч</w:t>
      </w:r>
      <w:r>
        <w:rPr>
          <w:b/>
          <w:color w:val="000000"/>
        </w:rPr>
        <w:t xml:space="preserve">их</w:t>
      </w:r>
      <w:r>
        <w:rPr>
          <w:b/>
          <w:color w:val="000000"/>
        </w:rPr>
        <w:t xml:space="preserve"> дн</w:t>
      </w:r>
      <w:r>
        <w:rPr>
          <w:b/>
          <w:color w:val="000000"/>
        </w:rPr>
        <w:t xml:space="preserve">ей</w:t>
      </w:r>
      <w:r>
        <w:rPr>
          <w:b/>
          <w:color w:val="000000"/>
        </w:rPr>
        <w:t xml:space="preserve"> с момента заключения </w:t>
      </w:r>
      <w:r>
        <w:rPr>
          <w:b/>
          <w:color w:val="000000"/>
        </w:rPr>
        <w:t xml:space="preserve">контракта</w:t>
      </w:r>
      <w:r>
        <w:rPr>
          <w:b/>
          <w:color w:val="000000"/>
        </w:rPr>
        <w:t xml:space="preserve">.</w:t>
      </w:r>
      <w:r/>
    </w:p>
    <w:p>
      <w:pPr>
        <w:pStyle w:val="826"/>
        <w:jc w:val="both"/>
        <w:spacing w:before="0" w:beforeAutospacing="0" w:after="0" w:afterAutospacing="0" w:line="276" w:lineRule="auto"/>
        <w:rPr>
          <w:b/>
        </w:rPr>
      </w:pPr>
      <w:r>
        <w:rPr>
          <w:rStyle w:val="827"/>
          <w:b/>
        </w:rPr>
        <w:t xml:space="preserve">4.</w:t>
      </w:r>
      <w:r>
        <w:rPr>
          <w:rStyle w:val="827"/>
          <w:b/>
        </w:rPr>
        <w:t xml:space="preserve">​ Источник</w:t>
      </w:r>
      <w:r>
        <w:rPr>
          <w:rStyle w:val="825"/>
          <w:b/>
        </w:rPr>
        <w:t xml:space="preserve"> финансирования: </w:t>
      </w:r>
      <w:r>
        <w:rPr>
          <w:b/>
        </w:rPr>
        <w:t xml:space="preserve">внебюджетные средства.</w:t>
      </w:r>
      <w:r/>
    </w:p>
    <w:p>
      <w:pPr>
        <w:pStyle w:val="826"/>
        <w:jc w:val="both"/>
        <w:spacing w:before="0" w:beforeAutospacing="0" w:after="0" w:afterAutospacing="0" w:line="276" w:lineRule="auto"/>
        <w:rPr>
          <w:bCs/>
        </w:rPr>
      </w:pPr>
      <w:r>
        <w:rPr>
          <w:b/>
        </w:rPr>
        <w:t xml:space="preserve">5. Запрет по национальному режиму: </w:t>
      </w:r>
      <w:r>
        <w:rPr>
          <w:bCs/>
        </w:rPr>
        <w:t xml:space="preserve">Установлен запрет в соответствии с Постановлением Прави</w:t>
      </w:r>
      <w:r>
        <w:rPr>
          <w:bCs/>
        </w:rPr>
        <w:t xml:space="preserve">тельства РФ №1875 от 23.12.2024 г., но т.к. закупка одной единицы товара не превышает 300 тыс. рублей  суммарная стоимость (согласно НМЦК) менее 1 млн. рублей, то согласно Подпункту «и» п. 5 Постановления Правительства РФ от N 1875 - запрет не применяется.</w:t>
      </w:r>
      <w:r/>
    </w:p>
    <w:p>
      <w:pPr>
        <w:pStyle w:val="826"/>
        <w:jc w:val="both"/>
        <w:spacing w:before="0" w:beforeAutospacing="0" w:after="0" w:afterAutospacing="0" w:line="276" w:lineRule="auto"/>
        <w:rPr>
          <w:b/>
        </w:rPr>
      </w:pPr>
      <w:r>
        <w:rPr>
          <w:b/>
        </w:rPr>
        <w:t xml:space="preserve">6. Код ОКПД 2:</w:t>
      </w:r>
      <w:r>
        <w:t xml:space="preserve"> </w:t>
      </w:r>
      <w:r>
        <w:t xml:space="preserve">20.30.22.170 - герметики</w:t>
      </w:r>
      <w:r/>
    </w:p>
    <w:p>
      <w:pPr>
        <w:pStyle w:val="826"/>
        <w:jc w:val="both"/>
        <w:spacing w:before="0" w:beforeAutospacing="0" w:after="0" w:afterAutospacing="0" w:line="276" w:lineRule="auto"/>
        <w:rPr>
          <w:b/>
        </w:rPr>
      </w:pPr>
      <w:r>
        <w:rPr>
          <w:b/>
        </w:rPr>
        <w:t xml:space="preserve">7.</w:t>
      </w:r>
      <w:r>
        <w:rPr>
          <w:b/>
        </w:rPr>
        <w:t xml:space="preserve"> </w:t>
      </w:r>
      <w:r>
        <w:rPr>
          <w:rFonts w:eastAsia="Calibri"/>
          <w:b/>
        </w:rPr>
        <w:t xml:space="preserve">Наименование поставляемых товаров. Количество поставляемых товаров. </w:t>
      </w:r>
      <w:r>
        <w:rPr>
          <w:b/>
        </w:rPr>
        <w:t xml:space="preserve">Технические и функциональные характеристики товара.</w:t>
      </w:r>
      <w:r/>
    </w:p>
    <w:tbl>
      <w:tblPr>
        <w:tblStyle w:val="824"/>
        <w:tblW w:w="0" w:type="auto"/>
        <w:tblLook w:val="04A0" w:firstRow="1" w:lastRow="0" w:firstColumn="1" w:lastColumn="0" w:noHBand="0" w:noVBand="1"/>
      </w:tblPr>
      <w:tblGrid>
        <w:gridCol w:w="560"/>
        <w:gridCol w:w="4394"/>
        <w:gridCol w:w="1984"/>
        <w:gridCol w:w="1560"/>
      </w:tblGrid>
      <w:tr>
        <w:trPr/>
        <w:tc>
          <w:tcPr>
            <w:tcW w:w="56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№ п/п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Наименование поставляемого товара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Ед. изм. 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  <w:r/>
          </w:p>
        </w:tc>
      </w:tr>
      <w:tr>
        <w:trPr/>
        <w:tc>
          <w:tcPr>
            <w:tcW w:w="5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Герметик ТехноНИКОЛЬ № 45 (серый) (16 кг)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КГ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160</w:t>
            </w:r>
            <w:r/>
          </w:p>
        </w:tc>
      </w:tr>
    </w:tbl>
    <w:p>
      <w:pPr>
        <w:ind w:left="567"/>
        <w:jc w:val="both"/>
        <w:spacing w:after="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8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Общие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требования к товарам,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требования к их качеству, потребительским свойствам. </w:t>
      </w:r>
      <w:r/>
    </w:p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48"/>
        <w:gridCol w:w="4524"/>
      </w:tblGrid>
      <w:tr>
        <w:trPr>
          <w:trHeight w:val="26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№ п/п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8" w:type="dxa"/>
            <w:vAlign w:val="center"/>
            <w:textDirection w:val="lrTb"/>
            <w:noWrap w:val="false"/>
          </w:tcPr>
          <w:p>
            <w:pPr>
              <w:ind w:firstLine="241"/>
              <w:jc w:val="center"/>
              <w:spacing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Наименование показателей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24" w:type="dxa"/>
            <w:vAlign w:val="center"/>
            <w:textDirection w:val="lrTb"/>
            <w:noWrap w:val="false"/>
          </w:tcPr>
          <w:p>
            <w:pPr>
              <w:ind w:firstLine="241"/>
              <w:jc w:val="center"/>
              <w:spacing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Требуемое значение показателей</w:t>
            </w:r>
            <w:r/>
          </w:p>
        </w:tc>
      </w:tr>
      <w:tr>
        <w:trPr>
          <w:trHeight w:val="26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8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Бренд: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24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ТЕХНОНИКОЛЬ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 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(или аналог)</w:t>
            </w:r>
            <w:r/>
          </w:p>
        </w:tc>
      </w:tr>
      <w:tr>
        <w:trPr>
          <w:trHeight w:val="266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8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Вес,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кг: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24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16</w:t>
            </w:r>
            <w:r/>
          </w:p>
        </w:tc>
      </w:tr>
      <w:tr>
        <w:trPr>
          <w:trHeight w:val="19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8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Водопоглощение по массе, не более,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%: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24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/>
          </w:p>
        </w:tc>
      </w:tr>
      <w:tr>
        <w:trPr>
          <w:trHeight w:val="7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8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Маркировка /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Спецификация: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24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ТУ</w:t>
            </w:r>
            <w:r/>
          </w:p>
        </w:tc>
      </w:tr>
      <w:tr>
        <w:trPr>
          <w:trHeight w:val="266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8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Масса 1 м²,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кг: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24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1.2</w:t>
            </w:r>
            <w:r/>
          </w:p>
        </w:tc>
      </w:tr>
      <w:tr>
        <w:trPr>
          <w:trHeight w:val="461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8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Цвет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24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Серый</w:t>
            </w:r>
            <w:r/>
          </w:p>
        </w:tc>
      </w:tr>
      <w:tr>
        <w:trPr>
          <w:trHeight w:val="266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8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Материал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основы: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24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Бутилкаучук</w:t>
            </w:r>
            <w:r/>
          </w:p>
        </w:tc>
      </w:tr>
      <w:tr>
        <w:trPr>
          <w:trHeight w:val="89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8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Массовая доля для сухого остатка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%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24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 50 до 60</w:t>
            </w:r>
            <w:r/>
          </w:p>
        </w:tc>
      </w:tr>
      <w:tr>
        <w:trPr>
          <w:trHeight w:val="1216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8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Назначение: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24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Ремонт кровель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ерметизация и гидроизоляция наружных межпанельных стыков полносборных зданий, фасадных и кровельных примыканий</w:t>
            </w:r>
            <w:r/>
          </w:p>
        </w:tc>
      </w:tr>
      <w:tr>
        <w:trPr>
          <w:trHeight w:val="189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8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Условная прочность при разрыве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МПа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24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 менее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/>
          </w:p>
        </w:tc>
      </w:tr>
      <w:tr>
        <w:trPr>
          <w:trHeight w:val="381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8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Относительно удлинение при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разрыве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%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24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150</w:t>
            </w:r>
            <w:r/>
          </w:p>
        </w:tc>
      </w:tr>
      <w:tr>
        <w:trPr>
          <w:trHeight w:val="31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8" w:type="dxa"/>
            <w:vAlign w:val="center"/>
            <w:textDirection w:val="lrTb"/>
            <w:noWrap w:val="false"/>
          </w:tcPr>
          <w:p>
            <w:pPr>
              <w:spacing w:before="24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Температура применения (нанесения) 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24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 -20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 до +40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</w:t>
            </w:r>
            <w:r/>
          </w:p>
        </w:tc>
      </w:tr>
      <w:tr>
        <w:trPr>
          <w:trHeight w:val="1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13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8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Плотность рабочего состава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ru-RU"/>
              </w:rPr>
              <w:t xml:space="preserve">3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24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</w:t>
            </w:r>
            <w:r/>
          </w:p>
        </w:tc>
      </w:tr>
    </w:tbl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9.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Требования к товару и место поставки: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Соответствие товара требованиям документации, и действующего законодательства Российской Федерации;</w: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-    Своевременное (в течение 10 (десяти) дней со дня получения уведомления Заказчика) устранение выявленных или возникших недостатков (повреждений, дефектов).</w: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Заказчик, в случае отказа Поставщика от устранения недостатков (повреждений, дефектов), оставляет за собой право устранить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эти недостатки (повреждения, дефекты) самостоятельно (или с привлечением третьих лиц), взыскав с Поставщика полную стоимость устраненных недостатков (повреждений, дефектов), расходы, связанные с выявлением и устранением недостатков (повреждений, дефектов),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Товар должен быть новым, не бывшем в употреблении, не подвергавшейся ранее ремонту, модернизации или восстановлению, не должен находиться в залоге, под арестом или под иным обременением.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Требования к качеству товара устанавливаются в соответствии со стандартом и техническим условиям изготовите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ля, нормативными правовыми актами, стандартами, нормами и регламентами Российской Федерации к поставляемому виду товара Доставка к месту приемки товара осуществляется поставщиком. Расходы по доставке товара к месту приемки несет Поставщик в полном объеме. </w: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10.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Адрес поставки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: 142970, Московская область, р.п. Серебряные Пруды, ул. Ильи Садофьева, д.15</w:t>
      </w:r>
      <w:r/>
    </w:p>
    <w:tbl>
      <w:tblPr>
        <w:tblW w:w="105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563"/>
      </w:tblGrid>
      <w:tr>
        <w:trPr>
          <w:jc w:val="center"/>
          <w:trHeight w:val="541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563" w:type="dxa"/>
            <w:textDirection w:val="lrTb"/>
            <w:noWrap w:val="false"/>
          </w:tcPr>
          <w:p>
            <w:pPr>
              <w:ind w:right="148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Сроки поставки товара, завершения работы или график оказания услуги</w:t>
            </w:r>
            <w:r/>
          </w:p>
          <w:p>
            <w:pPr>
              <w:ind w:right="148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 xml:space="preserve">Поставка товара осуществляется с 8:30 до 16:00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 xml:space="preserve">перерыв на обед с 12-00 до 13-00) по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/>
          </w:p>
          <w:p>
            <w:pPr>
              <w:ind w:right="148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 xml:space="preserve">московскому времени в рабочие дни в течение 5 (пяти) рабочих дней с даты подписания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/>
          </w:p>
          <w:p>
            <w:pPr>
              <w:ind w:right="148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 xml:space="preserve">договора.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 xml:space="preserve">Поставка всей партии товара производится единовременно.</w:t>
            </w:r>
            <w:r/>
          </w:p>
        </w:tc>
      </w:tr>
    </w:tbl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2.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Требования к предоставлению гарантии производителя и сроку такой гарантии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: Срок гарантии товара не менее 12 месяцев со дня подписания акта приема передачи товара. Наличие гарантии производителя. Если для товара гарантийный срок, установленный производителем,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превышает запрашиваемый гарантийный срок, то гарантийный срок на товар устанавливается продолжительностью не менее гарантийного срока, установленного производителем.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Гарантийные обязательства включают безвозмездную   замену с выполнением работ по замене гарантийного оборудования или оплату выполненны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х работ сторонней организацией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Требования к объему предоставления гарантий качества товара: Объем предоставления гарантий качества устанавливается в соответствии с технической/гарантийной документацией завода изготовителя.</w: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Дополнительные требования к комплектации: руководства по эксплуатации, сервисной/гарантийной книжки, копии сертификата (свидетельства) соответствия на русском языке, наличие установленного изготовителем комплекта принадлежностей.</w: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3.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 Срок и условия оплаты поставки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: по фак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ту поставки товара, в течение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пяти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) рабочих дней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 даты поставки товара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</w:t>
      </w:r>
      <w:r/>
    </w:p>
    <w:tbl>
      <w:tblPr>
        <w:tblW w:w="105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563"/>
      </w:tblGrid>
      <w:tr>
        <w:trPr>
          <w:jc w:val="center"/>
          <w:trHeight w:val="329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563" w:type="dxa"/>
            <w:textDirection w:val="lrTb"/>
            <w:noWrap w:val="false"/>
          </w:tcPr>
          <w:p>
            <w:pPr>
              <w:ind w:right="148"/>
              <w:jc w:val="both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Сведения о лице, ответственном за приёмку товаров, результатов работ, услуг    </w:t>
            </w:r>
            <w:r/>
          </w:p>
          <w:p>
            <w:pPr>
              <w:ind w:right="148"/>
              <w:jc w:val="both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(должность, ФИО, телефон)</w:t>
            </w:r>
            <w:r/>
          </w:p>
          <w:p>
            <w:pPr>
              <w:ind w:right="148"/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Ефимов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8-496-67-3-23-27</w:t>
            </w:r>
            <w:r/>
          </w:p>
          <w:p>
            <w:pPr>
              <w:ind w:right="148"/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Требования к документам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закупке: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заключением муниципального контракта,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/>
          </w:p>
          <w:p>
            <w:pPr>
              <w:ind w:right="148"/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 предоставить по Запросу Заказчика, посредст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вом эле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ронной почты, в </w:t>
            </w:r>
            <w:r/>
          </w:p>
          <w:p>
            <w:pPr>
              <w:ind w:right="148"/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4-х часов с момента получения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запроса, заполненную спецификацию, планируемого к </w:t>
            </w:r>
            <w:r/>
          </w:p>
          <w:p>
            <w:pPr>
              <w:ind w:right="148"/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поставке,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товара, с указанием страны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исхождения товара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851" w:right="567" w:bottom="851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44">
    <w:name w:val="Heading 1 Char"/>
    <w:basedOn w:val="821"/>
    <w:link w:val="820"/>
    <w:uiPriority w:val="9"/>
    <w:rPr>
      <w:rFonts w:ascii="Arial" w:hAnsi="Arial" w:eastAsia="Arial" w:cs="Arial"/>
      <w:sz w:val="40"/>
      <w:szCs w:val="40"/>
    </w:rPr>
  </w:style>
  <w:style w:type="paragraph" w:styleId="645">
    <w:name w:val="Heading 2"/>
    <w:basedOn w:val="819"/>
    <w:next w:val="819"/>
    <w:link w:val="64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6">
    <w:name w:val="Heading 2 Char"/>
    <w:basedOn w:val="821"/>
    <w:link w:val="645"/>
    <w:uiPriority w:val="9"/>
    <w:rPr>
      <w:rFonts w:ascii="Arial" w:hAnsi="Arial" w:eastAsia="Arial" w:cs="Arial"/>
      <w:sz w:val="34"/>
    </w:rPr>
  </w:style>
  <w:style w:type="paragraph" w:styleId="647">
    <w:name w:val="Heading 3"/>
    <w:basedOn w:val="819"/>
    <w:next w:val="819"/>
    <w:link w:val="64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8">
    <w:name w:val="Heading 3 Char"/>
    <w:basedOn w:val="821"/>
    <w:link w:val="647"/>
    <w:uiPriority w:val="9"/>
    <w:rPr>
      <w:rFonts w:ascii="Arial" w:hAnsi="Arial" w:eastAsia="Arial" w:cs="Arial"/>
      <w:sz w:val="30"/>
      <w:szCs w:val="30"/>
    </w:rPr>
  </w:style>
  <w:style w:type="paragraph" w:styleId="649">
    <w:name w:val="Heading 4"/>
    <w:basedOn w:val="819"/>
    <w:next w:val="819"/>
    <w:link w:val="65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50">
    <w:name w:val="Heading 4 Char"/>
    <w:basedOn w:val="821"/>
    <w:link w:val="649"/>
    <w:uiPriority w:val="9"/>
    <w:rPr>
      <w:rFonts w:ascii="Arial" w:hAnsi="Arial" w:eastAsia="Arial" w:cs="Arial"/>
      <w:b/>
      <w:bCs/>
      <w:sz w:val="26"/>
      <w:szCs w:val="26"/>
    </w:rPr>
  </w:style>
  <w:style w:type="paragraph" w:styleId="651">
    <w:name w:val="Heading 5"/>
    <w:basedOn w:val="819"/>
    <w:next w:val="819"/>
    <w:link w:val="65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2">
    <w:name w:val="Heading 5 Char"/>
    <w:basedOn w:val="821"/>
    <w:link w:val="651"/>
    <w:uiPriority w:val="9"/>
    <w:rPr>
      <w:rFonts w:ascii="Arial" w:hAnsi="Arial" w:eastAsia="Arial" w:cs="Arial"/>
      <w:b/>
      <w:bCs/>
      <w:sz w:val="24"/>
      <w:szCs w:val="24"/>
    </w:rPr>
  </w:style>
  <w:style w:type="paragraph" w:styleId="653">
    <w:name w:val="Heading 6"/>
    <w:basedOn w:val="819"/>
    <w:next w:val="819"/>
    <w:link w:val="6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4">
    <w:name w:val="Heading 6 Char"/>
    <w:basedOn w:val="821"/>
    <w:link w:val="653"/>
    <w:uiPriority w:val="9"/>
    <w:rPr>
      <w:rFonts w:ascii="Arial" w:hAnsi="Arial" w:eastAsia="Arial" w:cs="Arial"/>
      <w:b/>
      <w:bCs/>
      <w:sz w:val="22"/>
      <w:szCs w:val="22"/>
    </w:rPr>
  </w:style>
  <w:style w:type="paragraph" w:styleId="655">
    <w:name w:val="Heading 7"/>
    <w:basedOn w:val="819"/>
    <w:next w:val="819"/>
    <w:link w:val="65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6">
    <w:name w:val="Heading 7 Char"/>
    <w:basedOn w:val="821"/>
    <w:link w:val="6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7">
    <w:name w:val="Heading 8"/>
    <w:basedOn w:val="819"/>
    <w:next w:val="819"/>
    <w:link w:val="65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8">
    <w:name w:val="Heading 8 Char"/>
    <w:basedOn w:val="821"/>
    <w:link w:val="657"/>
    <w:uiPriority w:val="9"/>
    <w:rPr>
      <w:rFonts w:ascii="Arial" w:hAnsi="Arial" w:eastAsia="Arial" w:cs="Arial"/>
      <w:i/>
      <w:iCs/>
      <w:sz w:val="22"/>
      <w:szCs w:val="22"/>
    </w:rPr>
  </w:style>
  <w:style w:type="paragraph" w:styleId="659">
    <w:name w:val="Heading 9"/>
    <w:basedOn w:val="819"/>
    <w:next w:val="819"/>
    <w:link w:val="66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0">
    <w:name w:val="Heading 9 Char"/>
    <w:basedOn w:val="821"/>
    <w:link w:val="659"/>
    <w:uiPriority w:val="9"/>
    <w:rPr>
      <w:rFonts w:ascii="Arial" w:hAnsi="Arial" w:eastAsia="Arial" w:cs="Arial"/>
      <w:i/>
      <w:iCs/>
      <w:sz w:val="21"/>
      <w:szCs w:val="21"/>
    </w:rPr>
  </w:style>
  <w:style w:type="paragraph" w:styleId="661">
    <w:name w:val="No Spacing"/>
    <w:uiPriority w:val="1"/>
    <w:qFormat/>
    <w:pPr>
      <w:spacing w:before="0" w:after="0" w:line="240" w:lineRule="auto"/>
    </w:pPr>
  </w:style>
  <w:style w:type="paragraph" w:styleId="662">
    <w:name w:val="Title"/>
    <w:basedOn w:val="819"/>
    <w:next w:val="819"/>
    <w:link w:val="6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3">
    <w:name w:val="Title Char"/>
    <w:basedOn w:val="821"/>
    <w:link w:val="662"/>
    <w:uiPriority w:val="10"/>
    <w:rPr>
      <w:sz w:val="48"/>
      <w:szCs w:val="48"/>
    </w:rPr>
  </w:style>
  <w:style w:type="paragraph" w:styleId="664">
    <w:name w:val="Subtitle"/>
    <w:basedOn w:val="819"/>
    <w:next w:val="819"/>
    <w:link w:val="665"/>
    <w:uiPriority w:val="11"/>
    <w:qFormat/>
    <w:pPr>
      <w:spacing w:before="200" w:after="200"/>
    </w:pPr>
    <w:rPr>
      <w:sz w:val="24"/>
      <w:szCs w:val="24"/>
    </w:rPr>
  </w:style>
  <w:style w:type="character" w:styleId="665">
    <w:name w:val="Subtitle Char"/>
    <w:basedOn w:val="821"/>
    <w:link w:val="664"/>
    <w:uiPriority w:val="11"/>
    <w:rPr>
      <w:sz w:val="24"/>
      <w:szCs w:val="24"/>
    </w:rPr>
  </w:style>
  <w:style w:type="paragraph" w:styleId="666">
    <w:name w:val="Quote"/>
    <w:basedOn w:val="819"/>
    <w:next w:val="819"/>
    <w:link w:val="667"/>
    <w:uiPriority w:val="29"/>
    <w:qFormat/>
    <w:pPr>
      <w:ind w:left="720" w:right="720"/>
    </w:pPr>
    <w:rPr>
      <w:i/>
    </w:rPr>
  </w:style>
  <w:style w:type="character" w:styleId="667">
    <w:name w:val="Quote Char"/>
    <w:link w:val="666"/>
    <w:uiPriority w:val="29"/>
    <w:rPr>
      <w:i/>
    </w:rPr>
  </w:style>
  <w:style w:type="paragraph" w:styleId="668">
    <w:name w:val="Intense Quote"/>
    <w:basedOn w:val="819"/>
    <w:next w:val="819"/>
    <w:link w:val="6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9">
    <w:name w:val="Intense Quote Char"/>
    <w:link w:val="668"/>
    <w:uiPriority w:val="30"/>
    <w:rPr>
      <w:i/>
    </w:rPr>
  </w:style>
  <w:style w:type="paragraph" w:styleId="670">
    <w:name w:val="Header"/>
    <w:basedOn w:val="819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Header Char"/>
    <w:basedOn w:val="821"/>
    <w:link w:val="670"/>
    <w:uiPriority w:val="99"/>
  </w:style>
  <w:style w:type="paragraph" w:styleId="672">
    <w:name w:val="Footer"/>
    <w:basedOn w:val="819"/>
    <w:link w:val="6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3">
    <w:name w:val="Footer Char"/>
    <w:basedOn w:val="821"/>
    <w:link w:val="672"/>
    <w:uiPriority w:val="99"/>
  </w:style>
  <w:style w:type="paragraph" w:styleId="674">
    <w:name w:val="Caption"/>
    <w:basedOn w:val="819"/>
    <w:next w:val="8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5">
    <w:name w:val="Caption Char"/>
    <w:basedOn w:val="674"/>
    <w:link w:val="672"/>
    <w:uiPriority w:val="99"/>
  </w:style>
  <w:style w:type="table" w:styleId="676">
    <w:name w:val="Table Grid Light"/>
    <w:basedOn w:val="8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7">
    <w:name w:val="Plain Table 1"/>
    <w:basedOn w:val="8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8">
    <w:name w:val="Plain Table 2"/>
    <w:basedOn w:val="8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9">
    <w:name w:val="Plain Table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0">
    <w:name w:val="Plain Table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Plain Table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2">
    <w:name w:val="Grid Table 1 Light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4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4">
    <w:name w:val="Grid Table 4 - Accent 1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5">
    <w:name w:val="Grid Table 4 - Accent 2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6">
    <w:name w:val="Grid Table 4 - Accent 3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7">
    <w:name w:val="Grid Table 4 - Accent 4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8">
    <w:name w:val="Grid Table 4 - Accent 5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9">
    <w:name w:val="Grid Table 4 - Accent 6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0">
    <w:name w:val="Grid Table 5 Dark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1">
    <w:name w:val="Grid Table 5 Dark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4">
    <w:name w:val="Grid Table 5 Dark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5">
    <w:name w:val="Grid Table 5 Dark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7">
    <w:name w:val="Grid Table 6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8">
    <w:name w:val="Grid Table 6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9">
    <w:name w:val="Grid Table 6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0">
    <w:name w:val="Grid Table 6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1">
    <w:name w:val="Grid Table 6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2">
    <w:name w:val="Grid Table 6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3">
    <w:name w:val="Grid Table 6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4">
    <w:name w:val="Grid Table 7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9">
    <w:name w:val="List Table 2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0">
    <w:name w:val="List Table 2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1">
    <w:name w:val="List Table 2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2">
    <w:name w:val="List Table 2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3">
    <w:name w:val="List Table 2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4">
    <w:name w:val="List Table 2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5">
    <w:name w:val="List Table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5 Dark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6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7">
    <w:name w:val="List Table 6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8">
    <w:name w:val="List Table 6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9">
    <w:name w:val="List Table 6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0">
    <w:name w:val="List Table 6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1">
    <w:name w:val="List Table 6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2">
    <w:name w:val="List Table 6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3">
    <w:name w:val="List Table 7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4">
    <w:name w:val="List Table 7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5">
    <w:name w:val="List Table 7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6">
    <w:name w:val="List Table 7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7">
    <w:name w:val="List Table 7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8">
    <w:name w:val="List Table 7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9">
    <w:name w:val="List Table 7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0">
    <w:name w:val="Lined - Accent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Lined - Accent 1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2">
    <w:name w:val="Lined - Accent 2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3">
    <w:name w:val="Lined - Accent 3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4">
    <w:name w:val="Lined - Accent 4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5">
    <w:name w:val="Lined - Accent 5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6">
    <w:name w:val="Lined - Accent 6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7">
    <w:name w:val="Bordered &amp; Lined - Accent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8">
    <w:name w:val="Bordered &amp; Lined - Accent 1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9">
    <w:name w:val="Bordered &amp; Lined - Accent 2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0">
    <w:name w:val="Bordered &amp; Lined - Accent 3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1">
    <w:name w:val="Bordered &amp; Lined - Accent 4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2">
    <w:name w:val="Bordered &amp; Lined - Accent 5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3">
    <w:name w:val="Bordered &amp; Lined - Accent 6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4">
    <w:name w:val="Bordered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5">
    <w:name w:val="Bordered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6">
    <w:name w:val="Bordered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7">
    <w:name w:val="Bordered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8">
    <w:name w:val="Bordered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9">
    <w:name w:val="Bordered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0">
    <w:name w:val="Bordered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1">
    <w:name w:val="Hyperlink"/>
    <w:uiPriority w:val="99"/>
    <w:unhideWhenUsed/>
    <w:rPr>
      <w:color w:val="0000ff" w:themeColor="hyperlink"/>
      <w:u w:val="single"/>
    </w:rPr>
  </w:style>
  <w:style w:type="paragraph" w:styleId="802">
    <w:name w:val="footnote text"/>
    <w:basedOn w:val="819"/>
    <w:link w:val="803"/>
    <w:uiPriority w:val="99"/>
    <w:semiHidden/>
    <w:unhideWhenUsed/>
    <w:pPr>
      <w:spacing w:after="40" w:line="240" w:lineRule="auto"/>
    </w:pPr>
    <w:rPr>
      <w:sz w:val="18"/>
    </w:rPr>
  </w:style>
  <w:style w:type="character" w:styleId="803">
    <w:name w:val="Footnote Text Char"/>
    <w:link w:val="802"/>
    <w:uiPriority w:val="99"/>
    <w:rPr>
      <w:sz w:val="18"/>
    </w:rPr>
  </w:style>
  <w:style w:type="character" w:styleId="804">
    <w:name w:val="footnote reference"/>
    <w:basedOn w:val="821"/>
    <w:uiPriority w:val="99"/>
    <w:unhideWhenUsed/>
    <w:rPr>
      <w:vertAlign w:val="superscript"/>
    </w:rPr>
  </w:style>
  <w:style w:type="paragraph" w:styleId="805">
    <w:name w:val="endnote text"/>
    <w:basedOn w:val="819"/>
    <w:link w:val="806"/>
    <w:uiPriority w:val="99"/>
    <w:semiHidden/>
    <w:unhideWhenUsed/>
    <w:pPr>
      <w:spacing w:after="0" w:line="240" w:lineRule="auto"/>
    </w:pPr>
    <w:rPr>
      <w:sz w:val="20"/>
    </w:rPr>
  </w:style>
  <w:style w:type="character" w:styleId="806">
    <w:name w:val="Endnote Text Char"/>
    <w:link w:val="805"/>
    <w:uiPriority w:val="99"/>
    <w:rPr>
      <w:sz w:val="20"/>
    </w:rPr>
  </w:style>
  <w:style w:type="character" w:styleId="807">
    <w:name w:val="endnote reference"/>
    <w:basedOn w:val="821"/>
    <w:uiPriority w:val="99"/>
    <w:semiHidden/>
    <w:unhideWhenUsed/>
    <w:rPr>
      <w:vertAlign w:val="superscript"/>
    </w:rPr>
  </w:style>
  <w:style w:type="paragraph" w:styleId="808">
    <w:name w:val="toc 1"/>
    <w:basedOn w:val="819"/>
    <w:next w:val="819"/>
    <w:uiPriority w:val="39"/>
    <w:unhideWhenUsed/>
    <w:pPr>
      <w:ind w:left="0" w:right="0" w:firstLine="0"/>
      <w:spacing w:after="57"/>
    </w:pPr>
  </w:style>
  <w:style w:type="paragraph" w:styleId="809">
    <w:name w:val="toc 2"/>
    <w:basedOn w:val="819"/>
    <w:next w:val="819"/>
    <w:uiPriority w:val="39"/>
    <w:unhideWhenUsed/>
    <w:pPr>
      <w:ind w:left="283" w:right="0" w:firstLine="0"/>
      <w:spacing w:after="57"/>
    </w:pPr>
  </w:style>
  <w:style w:type="paragraph" w:styleId="810">
    <w:name w:val="toc 3"/>
    <w:basedOn w:val="819"/>
    <w:next w:val="819"/>
    <w:uiPriority w:val="39"/>
    <w:unhideWhenUsed/>
    <w:pPr>
      <w:ind w:left="567" w:right="0" w:firstLine="0"/>
      <w:spacing w:after="57"/>
    </w:pPr>
  </w:style>
  <w:style w:type="paragraph" w:styleId="811">
    <w:name w:val="toc 4"/>
    <w:basedOn w:val="819"/>
    <w:next w:val="819"/>
    <w:uiPriority w:val="39"/>
    <w:unhideWhenUsed/>
    <w:pPr>
      <w:ind w:left="850" w:right="0" w:firstLine="0"/>
      <w:spacing w:after="57"/>
    </w:pPr>
  </w:style>
  <w:style w:type="paragraph" w:styleId="812">
    <w:name w:val="toc 5"/>
    <w:basedOn w:val="819"/>
    <w:next w:val="819"/>
    <w:uiPriority w:val="39"/>
    <w:unhideWhenUsed/>
    <w:pPr>
      <w:ind w:left="1134" w:right="0" w:firstLine="0"/>
      <w:spacing w:after="57"/>
    </w:pPr>
  </w:style>
  <w:style w:type="paragraph" w:styleId="813">
    <w:name w:val="toc 6"/>
    <w:basedOn w:val="819"/>
    <w:next w:val="819"/>
    <w:uiPriority w:val="39"/>
    <w:unhideWhenUsed/>
    <w:pPr>
      <w:ind w:left="1417" w:right="0" w:firstLine="0"/>
      <w:spacing w:after="57"/>
    </w:pPr>
  </w:style>
  <w:style w:type="paragraph" w:styleId="814">
    <w:name w:val="toc 7"/>
    <w:basedOn w:val="819"/>
    <w:next w:val="819"/>
    <w:uiPriority w:val="39"/>
    <w:unhideWhenUsed/>
    <w:pPr>
      <w:ind w:left="1701" w:right="0" w:firstLine="0"/>
      <w:spacing w:after="57"/>
    </w:pPr>
  </w:style>
  <w:style w:type="paragraph" w:styleId="815">
    <w:name w:val="toc 8"/>
    <w:basedOn w:val="819"/>
    <w:next w:val="819"/>
    <w:uiPriority w:val="39"/>
    <w:unhideWhenUsed/>
    <w:pPr>
      <w:ind w:left="1984" w:right="0" w:firstLine="0"/>
      <w:spacing w:after="57"/>
    </w:pPr>
  </w:style>
  <w:style w:type="paragraph" w:styleId="816">
    <w:name w:val="toc 9"/>
    <w:basedOn w:val="819"/>
    <w:next w:val="819"/>
    <w:uiPriority w:val="39"/>
    <w:unhideWhenUsed/>
    <w:pPr>
      <w:ind w:left="2268" w:right="0" w:firstLine="0"/>
      <w:spacing w:after="57"/>
    </w:pPr>
  </w:style>
  <w:style w:type="paragraph" w:styleId="817">
    <w:name w:val="TOC Heading"/>
    <w:uiPriority w:val="39"/>
    <w:unhideWhenUsed/>
  </w:style>
  <w:style w:type="paragraph" w:styleId="818">
    <w:name w:val="table of figures"/>
    <w:basedOn w:val="819"/>
    <w:next w:val="819"/>
    <w:uiPriority w:val="99"/>
    <w:unhideWhenUsed/>
    <w:pPr>
      <w:spacing w:after="0" w:afterAutospacing="0"/>
    </w:pPr>
  </w:style>
  <w:style w:type="paragraph" w:styleId="819" w:default="1">
    <w:name w:val="Normal"/>
    <w:qFormat/>
  </w:style>
  <w:style w:type="paragraph" w:styleId="820">
    <w:name w:val="Heading 1"/>
    <w:basedOn w:val="819"/>
    <w:link w:val="831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821" w:default="1">
    <w:name w:val="Default Paragraph Font"/>
    <w:uiPriority w:val="1"/>
    <w:semiHidden/>
    <w:unhideWhenUsed/>
  </w:style>
  <w:style w:type="table" w:styleId="8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3" w:default="1">
    <w:name w:val="No List"/>
    <w:uiPriority w:val="99"/>
    <w:semiHidden/>
    <w:unhideWhenUsed/>
  </w:style>
  <w:style w:type="table" w:styleId="824">
    <w:name w:val="Table Grid"/>
    <w:basedOn w:val="822"/>
    <w:uiPriority w:val="39"/>
    <w:qFormat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25" w:customStyle="1">
    <w:name w:val="s1"/>
  </w:style>
  <w:style w:type="paragraph" w:styleId="826" w:customStyle="1">
    <w:name w:val="p5"/>
    <w:basedOn w:val="81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27" w:customStyle="1">
    <w:name w:val="s2"/>
  </w:style>
  <w:style w:type="paragraph" w:styleId="828">
    <w:name w:val="Balloon Text"/>
    <w:basedOn w:val="819"/>
    <w:link w:val="82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29" w:customStyle="1">
    <w:name w:val="Текст выноски Знак"/>
    <w:basedOn w:val="821"/>
    <w:link w:val="828"/>
    <w:uiPriority w:val="99"/>
    <w:semiHidden/>
    <w:rPr>
      <w:rFonts w:ascii="Tahoma" w:hAnsi="Tahoma" w:cs="Tahoma"/>
      <w:sz w:val="16"/>
      <w:szCs w:val="16"/>
    </w:rPr>
  </w:style>
  <w:style w:type="paragraph" w:styleId="830">
    <w:name w:val="List Paragraph"/>
    <w:basedOn w:val="819"/>
    <w:uiPriority w:val="34"/>
    <w:qFormat/>
    <w:pPr>
      <w:contextualSpacing/>
      <w:ind w:left="720"/>
    </w:pPr>
  </w:style>
  <w:style w:type="character" w:styleId="831" w:customStyle="1">
    <w:name w:val="Заголовок 1 Знак"/>
    <w:basedOn w:val="821"/>
    <w:link w:val="820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832" w:customStyle="1">
    <w:name w:val="pt-typography___slyw3"/>
    <w:basedOn w:val="81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3">
    <w:name w:val="Strong"/>
    <w:basedOn w:val="821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>StartSoft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Водоканал</dc:creator>
  <cp:revision>47</cp:revision>
  <dcterms:created xsi:type="dcterms:W3CDTF">2023-10-09T11:34:00Z</dcterms:created>
  <dcterms:modified xsi:type="dcterms:W3CDTF">2026-10-13T08:15:03Z</dcterms:modified>
</cp:coreProperties>
</file>