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32.40.39.129-Игрушки в наборах или комплектах прочие, не включенные в другие группировки/32.40.39.129-00000005-Комплект игр для развития моторики и сенсорики/11.213.01.01.01.01.003-Комплект игр для развития моторики и сенсорики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Мате: плюс. Математика в детском саду (коробка) от 4 -7 лет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Возрастная категория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≥3&lt;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Год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32.40.39.129-Игрушки в наборах или комплектах прочие, не включенные в другие группировки/32.40.39.129-00000005-Комплект игр для развития моторики и сенсорики/11.213.01.01.01.01.003-Комплект игр для развития моторики и сенсорики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Речь: плюс. Речевое развитие в детском саду (коробка)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Возрастная категория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≥5&lt;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Год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32.40.39.129-Игрушки в наборах или комплектах прочие, не включенные в другие группировки/32.40.39.129-00000005-Комплект игр для развития моторики и сенсорики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32.40.39.129-Игрушки в наборах или комплектах прочие, не включенные в другие группировки/32.40.39.129-00000005-Комплект игр для развития моторики и сенсорики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