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товаров для художественно-творческой деятельности в рамках ФГОС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КОЗ, используемые при описании объекта закупки (далее -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указано в приложении № 1 к контракту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Программная (непрограммная) основа закупки и источник финансирования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Бюджет Московской области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В случае поставки клея, корректирующих средств, маркеров, текстовыделителей, штемпельной краски и иных товаров, содержащих жидкие, клеящие, красящие или корректирующие составы, упаковка должна исключать вытекание, испарение, загрязнение иных товаров и повреждение транспортной тары при обычных условиях перевозки, хранения и передачи Заказчику.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В случае поставки коробов для долговременного хранения архивных документов на целлюлозосодержащей основе картон, использованный для их изготовления, должен соответствовать применимым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включая требования к составу, показателям качества, состоянию поверхности и безопасности материала.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изделий из бумаги и картона, включая альбомы, блокноты, записные книжки и иные аналогичные товары, упаковка должна обеспечивать сохранность при транспортировании и хранении, исключать замятие, намокание, загрязнение, нарушение геометрии листов, блоков, папок, обложек и иных элементов.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пишущих принадлежностей, корректирующих средств, клея и аналогичных товаров упаковка должна исключать повреждение пишущих узлов, колпачков, корпусов, дозаторов, а также вытекание или высыхание содержимого до передачи Товара Заказчику.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передачи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согласовывается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не установлено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 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подъем поставляемого Товара на этаж.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перемещение Товара до места передачи, склада, кабинета или иного помещения Заказчика, указанного в заявке или согласованного с ответственным представителем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правил действующего внутреннего распорядка, пропускного и внутриобъектового режимов на территории Заказчика, правил техники безопасности, правил пожарной безопасности, внутренних положений и инструкций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Оказание сопутствующих услуг не должно препятствовать выполнению должностных обязанностей работниками Заказчика и представлять угрозу для жизни людей.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Расходы, связанные с оказанием сопутствующих услуг, а также возможные расходы по обеспечению гарантийных обязательств в рамках настоящего Технического задания и Контракта покрываются за счет Поставщика. При этом стоимость сопутствующих услуг включена в цену каждой единицы Товара, подлежащей поставке с оказанием сопутствующих услуг.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Требования к гарантии качества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