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1.xml" ContentType="application/vnd.openxmlformats-officedocument.theme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1.xml" ContentType="application/vnd.openxmlformats-officedocument.wordprocessingml.header+xml"/>
  <Override PartName="/customXml/item1.xml" ContentType="application/xml"/>
  <Override PartName="/customXml/itemProps1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tblStyle w:val="718"/>
        <w:tblW w:w="5000" w:type="pc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4570"/>
      </w:tblGrid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5 к Контракту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Описание объекта закупки (Техническое задание).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Bdr/>
        <w:spacing/>
        <w:ind/>
        <w:rPr/>
      </w:pPr>
      <w:r/>
      <w:bookmarkStart w:name="FirstTable" w:id="0"/>
      <w:r/>
      <w:bookmarkEnd w:id="0"/>
      <w:r/>
      <w:r/>
    </w:p>
    <w:tbl>
      <w:tblPr>
        <w:tblBorders/>
        <w:tblW w:w="14592" w:type="dxa"/>
        <w:tblLayout w:type="fixed"/>
        <w:tblInd w:w="0" w:type="dxa"/>
      </w:tblPr>
      <w:tblGrid>
        <w:gridCol w:w="1270"/>
        <w:gridCol w:w="13281"/>
      </w:tblGrid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 Раздел. Общие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Наименование предмета закупки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Поставка отвалов для спецтехники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Количество поставляемого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i/>
                <w:sz w:val="28"/>
              </w:rPr>
              <w:t xml:space="preserve">В соответствии с разделом «Объекты закупки» приложения «Сведения об объектах закупки» к Контракту.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Место поставки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В соответствии с разделом «Место доставки товара» приложения «Сведения об обязательствах сторон и порядке оплаты» к Контракту.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 Раздел. Требования к порядку взаимодействия сторон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Взаимодействие сторон осуществляется в следующем порядке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В целях обеспечения взаимодействия Поставщик и Заказчик определяют сотрудников, ответственных за взаимодействие при исполнении Контракта (далее – ответственные представители). Поставщик обязан в срок, указанный в приложении «Перечень документов, которыми обмениваются стороны при исполнении контракта» к Контракту, предоставить Заказчику посредством Портала исполнения контрактов Единой автоматизированной системы управления закупками Московской области (далее - ПИК ЕАСУЗ) информацию об ответственном(ых) представителе(ях) с указанием предоставляемых им полномочий.</w:t>
              <w:br/>
              <w:t xml:space="preserve">2. Заказчик в течение 1 (одного) рабочего дня со дня предоставления Поставщиком информации об ответственном представителе направляет в адрес Поставщика посредством ПИК ЕАСУЗ сведения об ответственном(ых) представителе(ях) Заказчика в составе следующих сведений: должность, фамилия, имя, отчество (при наличии), адрес электронной почты и номер телефона ответственного представителя.</w:t>
              <w:br/>
              <w:t xml:space="preserve">3. В случае замены ответственного(ых) представителя(ей) (в том числе временной) уведомление о замене с приложением актуальных сведений об ответственном(ых) представителе(ях) предоставляется в день такой замены посредством электронной почты, указанной в разделе «Адреса, реквизиты и подписи Сторон» Контракта, если Контрактом или обязательным функционалом ПИК ЕАСУЗ не установлен иной способ направления такого уведомления.</w:t>
              <w:br/>
              <w:t xml:space="preserve">4. Порядок согласования документов, решений и действий, формируемых, принимаемых и реализуемых в ходе исполнения Контракта:</w:t>
              <w:br/>
              <w:t xml:space="preserve">1) документы и сведения, формирование и (или) направление которых с использованием единой информационной системы в сфере закупок (ЕИС) и (или) ПИК ЕАСУЗ предусмотрено законодательством Российской Федерации или Контрактом, формируются и направляются соответствующим способом. В иных случаях, если иной способ не установлен Контрактом или настоящим Техническим заданием, уведомления, требования, документы и решения, включая документы и решения, подлежащие проверке Заказчиком на соответствие требованиям настоящего Технического задания (далее - проверка), направляются посредством электронной почты по адресам, указанным в разделе «Адреса, реквизиты и подписи Сторон» Контракта;</w:t>
              <w:br/>
              <w:t xml:space="preserve">2) при направлении электронных сообщений соблюдаются требования настоящего Технического задания к формату представления данных (сведений, документов), если такие требования установлены;</w:t>
              <w:br/>
              <w:t xml:space="preserve">3) если иное не определено условиями Контракта, требованиями законодательства Российской Федерации или настоящего Технического задания, проверка осуществляется Заказчиком в течение 5 (пяти) рабочих дней со дня поступления обращения о проверке;</w:t>
              <w:br/>
              <w:t xml:space="preserve">4) при необходимости передачи сведений и документов, в том числе в целях их проверки, на бумажном носителе и (или) съемном электронном носителе информации Поставщик уточняет у Заказчика дату, время и место такой передачи;</w:t>
              <w:br/>
              <w:t xml:space="preserve">5) отсутствие сведений о результатах проверки, осуществленной Заказчиком в установленные Техническим заданием или Контрактом сроки, не является основанием для признания представленных документов, решений и сведений отвечающими требованиям, установленным настоящим Техническим заданием;</w:t>
              <w:br/>
              <w:t xml:space="preserve">6) уведомление по результатам проверки о несоответствии представленных документов, решений и сведений должно содержать указание на причины несоответствия и срок их устранения.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III Раздел. Требования к условиям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Общие требования к Товару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Поставляемый Товар должен:</w:t>
              <w:br/>
              <w:t xml:space="preserve">- быть новым товаром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 в случае, если иное не предусмотрено описанием объекта закупки;</w:t>
              <w:br/>
              <w:t xml:space="preserve">- товар не должен иметь дефектов, связанных с конструкцией, материалами или работой по их изготовлению, либо проявляющихся в результате действия или упущения производителя и (или) упущения поставщика, при соблюдении заказчиком правил эксплуатации поставляемого товара;</w:t>
              <w:br/>
              <w:t xml:space="preserve">- соответствовать требованиям действующих государственных, международных стандартов и других нормативных актов Российской Федерации, требованиям безопасности, функциональным и качественным характеристикам для данной группы товаров в соответствии с требованиями государственных и международных стандартов, а также актам, указанным в IX Разделе настоящего Технического задания;</w:t>
              <w:br/>
              <w:t xml:space="preserve">- соответствовать по качеству и потребительским свойствам сертификатам, свидетельствам и паспортам качества производителей, декларациям о соответствии, действующим на территории Российской Федерации (в случае если в отношении данной группы товаров установлено требование об обязательном подтверждении соответствия).</w:t>
              <w:br/>
              <w:t xml:space="preserve">2. В сопроводительной документации на Товар, на этикетке маркировкой или иным способом должны быть указаны специальные правила, если для безопасного использования Товара, его хранения, транспортировки их необходимо соблюдать.</w:t>
              <w:br/>
              <w:t xml:space="preserve">3. Уборка и вывоз тары, упаковки (включая вспомогательные упаковочные средства) производится силами Поставщика в соответствии с условиями Контракта.</w:t>
              <w:br/>
              <w:t xml:space="preserve">4. Поставляемый по Контракту Товар не должен находиться в залоге, под арестом или под иным обременением.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безопасности и качеству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Товар должен соответствовать требованиям безопасности, экологическим требованиям и техническим характеристикам в соответствии с нормативно-правовым актам, указанным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5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Соответствие качества и безопасности товара должно быть подтверждено: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Товар должен быть разрешен к применению на территории Российской Федерации и сопровождаться сертификатом соответствия и (или) декларацией о соответствии, подтверждающими его соответствие установленным требованиям для продукции, включенной в перечень продукции, подлежащей обязательной сертификации и (или) подтверждение соответствия которой осуществляется в форме принятия декларации о соответствии.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упаковке и маркировке поставляемого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Для обеспечения высокого качества поставок и соблюдения законодательных требований, упаковка и маркировка поставляемых товаров должны отвечать следующим требованиям: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1. Упаковка должна обеспечивать сохранность товара при транспортировке и хранении, быть чистой, герметичной, без повреждений соответствовать требованиям нормативно-правового акта, указанного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3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К каждой партии товара прилагается упаковочный лист (упаковочная спецификация) в двух экземплярах, в котором указываются: наименование продукции, количество, вес -нетто и -брутто, номер и дата Контракта или заказа.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Упаковочный лист должен содержать описание упаковочных материалов и подтверждение соответствия требованиям стандартов, включая данные об условиях хранения и транспортировки.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4. Упаковочная документация должна сопровождать всю грузовую партию и передаваться ответственному лицу при приемке.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5. Упаковка должна обеспечивать целостность и сохранность товара в течение всего срока транспортирования, погрузо-разгрузочных работах  и хранения, быть выполнена из экологичных и прочных материалов. Все элементы упаковки должны быть защищены от повреждений, влаги, загрязнений и других негативных воздействий.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6. Маркировка товара должна содержать: наименование изделия, место нахождения и адрес изготовителя, дату выпуска и гарантийный срок службы. Маркировка упаковки должна строго соответствовать маркировке товара и быть читаемой, в соответствии с нормативно-правовыми актами, указанными в пунктах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2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6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 и другим нормативным актам, регулирующим безопасность упаковки и её обращение.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7. Маркировка должна содержать полную и достоверную информацию, позволяющую идентифицировать товар и производителя, а также обеспечить безопасность использования.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условиям поставки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Поставка Товара осуществляется в порядке и сроки, установленные в разделе «График выполнения обязательств по контракту» приложения 2 к Контракту.</w:t>
              <w:br/>
              <w:t xml:space="preserve">2. Поставка должна включать в себя доставку, погрузо-разгрузочные работы, Поставщик на момент поставки должен предоставить копию сертификата соответствия в случае, если продукция подлежит обязательной сертификации, или копию декларации о соответствии.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IV Раздел. Срок  (график) место, объемы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Срок (график), место, объемы поставки товаров (выполнения работ, оказания услуг) определены в приложении 2 к Контракту.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 Раздел. Информация о месте, датах начала и окончания, порядке и графике осмотра участником закупки образца или макета товара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о соответствии поставляемого товара образцу или макету товара не установлены.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 Раздел. Функциональные, технические, качественные, эксплуатационные характеристики товаров, подлежащих поставке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Порядок указания характеристик поставляемых товаров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i/>
                <w:sz w:val="28"/>
              </w:rPr>
              <w:t xml:space="preserve">Приведены в Приложении № 1 к Описанию объекта закупки (Техническому заданию). Требования к функциональным, техническим и качественным, эксплуатационным характеристикам товара.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 Раздел. Дополнительные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Приемка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Порядок и сроки осуществления приемки поставленного товара установлены в разделе «Порядок и сроки осуществления приемки и оформления результатов» Приложения 2 к Контракту. </w:t>
              <w:br/>
              <w:t xml:space="preserve">2. Перечень и сроки предоставления отчетной документации установлены в Приложении 3 к Контракту «Перечень документов, которыми обмениваются стороны при исполнении контракта».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VIII Раздел. Требования к гарантии качества товара, работы, услуги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Гарантийные обязательства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Гарантийный срок на поставляемые товары указан в разделе «Сведения о гарантии качества товара, работы, услуги» приложения 1 к Контракту. </w:t>
              <w:br/>
              <w:t xml:space="preserve">2. Гарантийный срок начинает исчисляться с даты подписания или утверждения Заказчиком документа о приемке, указанного в разделе «Порядок и сроки осуществления приемки и оформления результатов» приложения 2 к Контракту.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IX Раздел. Перечень правовых актов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Постановление Правительства РФ «Об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Федерации от 31 декабря 2020 г. № 2467 и признании утратившими силу некоторых актов Правительства Российской Федерации» № 2425 от 23.12.2021.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«Упаковка. Маркировка, указывающая на способ обращения с грузами» ГОСТ 34757-2021 от 14.09.2021.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Упаковка. Термины и определения» ГОСТ 17527-2020.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Решении Комиссии Таможенного союза «О безопасности машин и оборудования» ТР ТС 010/2011 от 18.10.2011.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Технический регламент Таможенного союза. «О безопасности колесных транспортных средств» ТР ТС 018/2011 от 09.12.2011.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Технический регламент Таможенного союза. «О безопасности упаковки, принятый решением Комиссии Таможенного союза» ТР ТС 005/2011 от 16.08.2011.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X Раздел. Приложения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Приложения к настоящему Описанию объекта закупки (Техническому заданию) при их наличии оформляются отдельными файлами и являются его неотъемлемой частью.</w:t>
            </w:r>
          </w:p>
        </w:tc>
      </w:tr>
      <w:tr>
        <w:tc>
          <w:p/>
        </w:tc>
        <w:tc>
          <w:p/>
        </w:tc>
      </w:tr>
    </w:tbl>
    <w:sectPr>
      <w:headerReference w:type="default" r:id="rId9"/>
      <w:footnotePr/>
      <w:endnotePr/>
      <w:type w:val="nextPage"/>
      <w:pgSz w:w="16838" w:h="11906" w:orient="landscape"/>
      <w:pgMar w:top="1134" w:right="1134" w:bottom="850" w:left="1134" w:header="708" w:footer="708" w:gutter="0"/>
      <w:cols w:equalWidth="1" w:space="708" w:num="1" w:sep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9"/>
      <w:pBdr/>
      <w:spacing/>
      <w:ind/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</w:r>
    <w:r>
      <w:rPr>
        <w:rFonts w:ascii="Times New Roman" w:hAnsi="Times New Roman" w:cs="Times New Roman"/>
        <w:b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1277EB"/>
    <w:lvl w:ilvl="0">
      <w:isLgl w:val="false"/>
      <w:lvlJc w:val="left"/>
      <w:lvlText w:val="%1."/>
      <w:numFmt w:val="decimal"/>
      <w:pPr>
        <w:pBdr/>
        <w:spacing/>
        <w:ind w:hanging="360" w:left="90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2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4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6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78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0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2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4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60"/>
      </w:pPr>
      <w:rPr/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doNotExpandShiftReturn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712"/>
    <w:next w:val="712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712"/>
    <w:next w:val="712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712"/>
    <w:next w:val="712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712"/>
    <w:next w:val="712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12"/>
    <w:next w:val="712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12"/>
    <w:next w:val="712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12"/>
    <w:next w:val="712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12"/>
    <w:next w:val="712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12"/>
    <w:next w:val="712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713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13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13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13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13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13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13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13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13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712"/>
    <w:next w:val="712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713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12"/>
    <w:next w:val="712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713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12"/>
    <w:next w:val="712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713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712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71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12"/>
    <w:next w:val="712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713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1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12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1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13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13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1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1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713"/>
    <w:link w:val="719"/>
    <w:uiPriority w:val="99"/>
    <w:pPr>
      <w:pBdr/>
      <w:spacing/>
      <w:ind/>
    </w:pPr>
  </w:style>
  <w:style w:type="character" w:styleId="179">
    <w:name w:val="Footer Char"/>
    <w:basedOn w:val="713"/>
    <w:link w:val="721"/>
    <w:uiPriority w:val="99"/>
    <w:pPr>
      <w:pBdr/>
      <w:spacing/>
      <w:ind/>
    </w:pPr>
  </w:style>
  <w:style w:type="paragraph" w:styleId="180">
    <w:name w:val="Caption"/>
    <w:basedOn w:val="712"/>
    <w:next w:val="71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character" w:styleId="182">
    <w:name w:val="Footnote Text Char"/>
    <w:basedOn w:val="713"/>
    <w:link w:val="725"/>
    <w:uiPriority w:val="99"/>
    <w:semiHidden/>
    <w:pPr>
      <w:pBdr/>
      <w:spacing/>
      <w:ind/>
    </w:pPr>
    <w:rPr>
      <w:sz w:val="20"/>
      <w:szCs w:val="20"/>
    </w:rPr>
  </w:style>
  <w:style w:type="paragraph" w:styleId="184">
    <w:name w:val="endnote text"/>
    <w:basedOn w:val="712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13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71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12"/>
    <w:next w:val="712"/>
    <w:uiPriority w:val="39"/>
    <w:unhideWhenUsed/>
    <w:pPr>
      <w:pBdr/>
      <w:spacing w:after="100"/>
      <w:ind/>
    </w:pPr>
  </w:style>
  <w:style w:type="paragraph" w:styleId="190">
    <w:name w:val="toc 2"/>
    <w:basedOn w:val="712"/>
    <w:next w:val="712"/>
    <w:uiPriority w:val="39"/>
    <w:unhideWhenUsed/>
    <w:pPr>
      <w:pBdr/>
      <w:spacing w:after="100"/>
      <w:ind w:left="220"/>
    </w:pPr>
  </w:style>
  <w:style w:type="paragraph" w:styleId="191">
    <w:name w:val="toc 3"/>
    <w:basedOn w:val="712"/>
    <w:next w:val="712"/>
    <w:uiPriority w:val="39"/>
    <w:unhideWhenUsed/>
    <w:pPr>
      <w:pBdr/>
      <w:spacing w:after="100"/>
      <w:ind w:left="440"/>
    </w:pPr>
  </w:style>
  <w:style w:type="paragraph" w:styleId="192">
    <w:name w:val="toc 4"/>
    <w:basedOn w:val="712"/>
    <w:next w:val="712"/>
    <w:uiPriority w:val="39"/>
    <w:unhideWhenUsed/>
    <w:pPr>
      <w:pBdr/>
      <w:spacing w:after="100"/>
      <w:ind w:left="660"/>
    </w:pPr>
  </w:style>
  <w:style w:type="paragraph" w:styleId="193">
    <w:name w:val="toc 5"/>
    <w:basedOn w:val="712"/>
    <w:next w:val="712"/>
    <w:uiPriority w:val="39"/>
    <w:unhideWhenUsed/>
    <w:pPr>
      <w:pBdr/>
      <w:spacing w:after="100"/>
      <w:ind w:left="880"/>
    </w:pPr>
  </w:style>
  <w:style w:type="paragraph" w:styleId="194">
    <w:name w:val="toc 6"/>
    <w:basedOn w:val="712"/>
    <w:next w:val="712"/>
    <w:uiPriority w:val="39"/>
    <w:unhideWhenUsed/>
    <w:pPr>
      <w:pBdr/>
      <w:spacing w:after="100"/>
      <w:ind w:left="1100"/>
    </w:pPr>
  </w:style>
  <w:style w:type="paragraph" w:styleId="195">
    <w:name w:val="toc 7"/>
    <w:basedOn w:val="712"/>
    <w:next w:val="712"/>
    <w:uiPriority w:val="39"/>
    <w:unhideWhenUsed/>
    <w:pPr>
      <w:pBdr/>
      <w:spacing w:after="100"/>
      <w:ind w:left="1320"/>
    </w:pPr>
  </w:style>
  <w:style w:type="paragraph" w:styleId="196">
    <w:name w:val="toc 8"/>
    <w:basedOn w:val="712"/>
    <w:next w:val="712"/>
    <w:uiPriority w:val="39"/>
    <w:unhideWhenUsed/>
    <w:pPr>
      <w:pBdr/>
      <w:spacing w:after="100"/>
      <w:ind w:left="1540"/>
    </w:pPr>
  </w:style>
  <w:style w:type="paragraph" w:styleId="197">
    <w:name w:val="toc 9"/>
    <w:basedOn w:val="712"/>
    <w:next w:val="712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13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12"/>
    <w:next w:val="712"/>
    <w:uiPriority w:val="99"/>
    <w:unhideWhenUsed/>
    <w:pPr>
      <w:pBdr/>
      <w:spacing w:after="0" w:afterAutospacing="0"/>
      <w:ind/>
    </w:pPr>
  </w:style>
  <w:style w:type="paragraph" w:styleId="712" w:default="1">
    <w:name w:val="Normal"/>
    <w:qFormat/>
    <w:pPr>
      <w:pBdr/>
      <w:spacing/>
      <w:ind/>
    </w:pPr>
  </w:style>
  <w:style w:type="character" w:styleId="713" w:default="1">
    <w:name w:val="Default Paragraph Font"/>
    <w:uiPriority w:val="1"/>
    <w:semiHidden/>
    <w:unhideWhenUsed/>
    <w:pPr>
      <w:pBdr/>
      <w:spacing/>
      <w:ind/>
    </w:pPr>
  </w:style>
  <w:style w:type="table" w:styleId="71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15" w:default="1">
    <w:name w:val="No List"/>
    <w:uiPriority w:val="99"/>
    <w:semiHidden/>
    <w:unhideWhenUsed/>
    <w:pPr>
      <w:pBdr/>
      <w:spacing/>
      <w:ind/>
    </w:pPr>
  </w:style>
  <w:style w:type="paragraph" w:styleId="716" w:customStyle="1">
    <w:name w:val="ConsPlusNormal"/>
    <w:pPr>
      <w:widowControl w:val="false"/>
      <w:pBdr/>
      <w:spacing w:after="0" w:line="240" w:lineRule="auto"/>
      <w:ind/>
    </w:pPr>
    <w:rPr>
      <w:rFonts w:ascii="Times New Roman" w:hAnsi="Times New Roman" w:cs="Times New Roman" w:eastAsiaTheme="minorEastAsia"/>
      <w:sz w:val="24"/>
      <w:szCs w:val="24"/>
      <w:lang w:eastAsia="ru-RU"/>
    </w:rPr>
  </w:style>
  <w:style w:type="paragraph" w:styleId="717" w:customStyle="1">
    <w:name w:val="ConsPlusNonformat"/>
    <w:uiPriority w:val="99"/>
    <w:pPr>
      <w:widowControl w:val="false"/>
      <w:pBdr/>
      <w:spacing w:after="0" w:line="240" w:lineRule="auto"/>
      <w:ind/>
    </w:pPr>
    <w:rPr>
      <w:rFonts w:ascii="Courier New" w:hAnsi="Courier New" w:cs="Courier New" w:eastAsiaTheme="minorEastAsia"/>
      <w:sz w:val="20"/>
      <w:szCs w:val="20"/>
      <w:lang w:eastAsia="ru-RU"/>
    </w:rPr>
  </w:style>
  <w:style w:type="table" w:styleId="718">
    <w:name w:val="Table Grid"/>
    <w:basedOn w:val="714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719">
    <w:name w:val="Header"/>
    <w:basedOn w:val="712"/>
    <w:link w:val="720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0" w:customStyle="1">
    <w:name w:val="Верхний колонтитул Знак"/>
    <w:basedOn w:val="713"/>
    <w:link w:val="719"/>
    <w:uiPriority w:val="99"/>
    <w:pPr>
      <w:pBdr/>
      <w:spacing/>
      <w:ind/>
    </w:pPr>
  </w:style>
  <w:style w:type="paragraph" w:styleId="721">
    <w:name w:val="Footer"/>
    <w:basedOn w:val="712"/>
    <w:link w:val="722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2" w:customStyle="1">
    <w:name w:val="Нижний колонтитул Знак"/>
    <w:basedOn w:val="713"/>
    <w:link w:val="721"/>
    <w:uiPriority w:val="99"/>
    <w:pPr>
      <w:pBdr/>
      <w:spacing/>
      <w:ind/>
    </w:pPr>
  </w:style>
  <w:style w:type="character" w:styleId="723" w:customStyle="1">
    <w:name w:val="Основной текст_"/>
    <w:link w:val="724"/>
    <w:pPr>
      <w:pBdr/>
      <w:spacing/>
      <w:ind/>
    </w:pPr>
    <w:rPr>
      <w:rFonts w:ascii="Times New Roman" w:hAnsi="Times New Roman" w:cs="Times New Roman"/>
      <w:sz w:val="21"/>
      <w:szCs w:val="21"/>
      <w:shd w:val="clear" w:color="auto" w:fill="ffffff"/>
    </w:rPr>
  </w:style>
  <w:style w:type="paragraph" w:styleId="724" w:customStyle="1">
    <w:name w:val="Основной текст7"/>
    <w:basedOn w:val="712"/>
    <w:link w:val="723"/>
    <w:pPr>
      <w:pBdr/>
      <w:shd w:val="clear" w:color="auto" w:fill="ffffff"/>
      <w:spacing w:after="0" w:before="6660" w:line="254" w:lineRule="exact"/>
      <w:ind/>
      <w:jc w:val="center"/>
    </w:pPr>
    <w:rPr>
      <w:rFonts w:ascii="Times New Roman" w:hAnsi="Times New Roman" w:cs="Times New Roman"/>
      <w:sz w:val="21"/>
      <w:szCs w:val="21"/>
    </w:rPr>
  </w:style>
  <w:style w:type="paragraph" w:styleId="725">
    <w:name w:val="footnote text"/>
    <w:basedOn w:val="712"/>
    <w:link w:val="726"/>
    <w:uiPriority w:val="99"/>
    <w:unhideWhenUsed/>
    <w:qFormat/>
    <w:pPr>
      <w:pBdr/>
      <w:spacing w:after="0" w:line="240" w:lineRule="auto"/>
      <w:ind/>
    </w:pPr>
    <w:rPr>
      <w:sz w:val="20"/>
      <w:szCs w:val="20"/>
    </w:rPr>
  </w:style>
  <w:style w:type="character" w:styleId="726" w:customStyle="1">
    <w:name w:val="Текст сноски Знак"/>
    <w:basedOn w:val="713"/>
    <w:link w:val="725"/>
    <w:uiPriority w:val="99"/>
    <w:pPr>
      <w:pBdr/>
      <w:spacing/>
      <w:ind/>
    </w:pPr>
    <w:rPr>
      <w:sz w:val="20"/>
      <w:szCs w:val="20"/>
    </w:rPr>
  </w:style>
  <w:style w:type="character" w:styleId="727">
    <w:name w:val="foot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728">
    <w:name w:val="annotation reference"/>
    <w:basedOn w:val="713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729">
    <w:name w:val="annotation text"/>
    <w:basedOn w:val="712"/>
    <w:link w:val="730"/>
    <w:uiPriority w:val="99"/>
    <w:unhideWhenUsed/>
    <w:pPr>
      <w:pBdr/>
      <w:spacing w:line="240" w:lineRule="auto"/>
      <w:ind/>
    </w:pPr>
    <w:rPr>
      <w:sz w:val="20"/>
      <w:szCs w:val="20"/>
    </w:rPr>
  </w:style>
  <w:style w:type="character" w:styleId="730" w:customStyle="1">
    <w:name w:val="Текст примечания Знак"/>
    <w:basedOn w:val="713"/>
    <w:link w:val="729"/>
    <w:uiPriority w:val="99"/>
    <w:pPr>
      <w:pBdr/>
      <w:spacing/>
      <w:ind/>
    </w:pPr>
    <w:rPr>
      <w:sz w:val="20"/>
      <w:szCs w:val="20"/>
    </w:rPr>
  </w:style>
  <w:style w:type="paragraph" w:styleId="731">
    <w:name w:val="annotation subject"/>
    <w:basedOn w:val="729"/>
    <w:next w:val="729"/>
    <w:link w:val="732"/>
    <w:uiPriority w:val="99"/>
    <w:semiHidden/>
    <w:unhideWhenUsed/>
    <w:pPr>
      <w:pBdr/>
      <w:spacing/>
      <w:ind/>
    </w:pPr>
    <w:rPr>
      <w:b/>
      <w:bCs/>
    </w:rPr>
  </w:style>
  <w:style w:type="character" w:styleId="732" w:customStyle="1">
    <w:name w:val="Тема примечания Знак"/>
    <w:basedOn w:val="730"/>
    <w:link w:val="731"/>
    <w:uiPriority w:val="99"/>
    <w:semiHidden/>
    <w:pPr>
      <w:pBdr/>
      <w:spacing/>
      <w:ind/>
    </w:pPr>
    <w:rPr>
      <w:b/>
      <w:bCs/>
      <w:sz w:val="20"/>
      <w:szCs w:val="20"/>
    </w:rPr>
  </w:style>
  <w:style w:type="paragraph" w:styleId="733">
    <w:name w:val="Balloon Text"/>
    <w:basedOn w:val="712"/>
    <w:link w:val="734"/>
    <w:uiPriority w:val="99"/>
    <w:semiHidden/>
    <w:unhideWhenUsed/>
    <w:pPr>
      <w:pBdr/>
      <w:spacing w:after="0" w:line="240" w:lineRule="auto"/>
      <w:ind/>
    </w:pPr>
    <w:rPr>
      <w:rFonts w:ascii="Segoe UI" w:hAnsi="Segoe UI" w:cs="Segoe UI"/>
      <w:sz w:val="18"/>
      <w:szCs w:val="18"/>
    </w:rPr>
  </w:style>
  <w:style w:type="character" w:styleId="734" w:customStyle="1">
    <w:name w:val="Текст выноски Знак"/>
    <w:basedOn w:val="713"/>
    <w:link w:val="733"/>
    <w:uiPriority w:val="99"/>
    <w:semiHidden/>
    <w:pPr>
      <w:pBdr/>
      <w:spacing/>
      <w:ind/>
    </w:pPr>
    <w:rPr>
      <w:rFonts w:ascii="Segoe UI" w:hAnsi="Segoe UI" w:cs="Segoe UI"/>
      <w:sz w:val="18"/>
      <w:szCs w:val="18"/>
    </w:rPr>
  </w:style>
  <w:style w:type="paragraph" w:styleId="735">
    <w:name w:val="Revision"/>
    <w:hidden/>
    <w:uiPriority w:val="99"/>
    <w:semiHidden/>
    <w:pPr>
      <w:pBdr/>
      <w:spacing w:after="0" w:line="240" w:lineRule="auto"/>
      <w:ind/>
    </w:pPr>
  </w:style>
  <w:style w:type="character" w:styleId="736">
    <w:name w:val="Hyperlink"/>
    <w:basedOn w:val="713"/>
    <w:uiPriority w:val="99"/>
    <w:unhideWhenUsed/>
    <w:pPr>
      <w:pBdr/>
      <w:spacing/>
      <w:ind/>
    </w:pPr>
    <w:rPr>
      <w:color w:val="0563c1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Id1" /><Relationship Type="http://schemas.openxmlformats.org/officeDocument/2006/relationships/settings" Target="/word/settings.xml" Id="rId2" /><Relationship Type="http://schemas.openxmlformats.org/officeDocument/2006/relationships/webSettings" Target="/word/webSettings.xml" Id="rId3" /><Relationship Type="http://schemas.openxmlformats.org/officeDocument/2006/relationships/fontTable" Target="/word/fontTable.xml" Id="rId4" /><Relationship Type="http://schemas.openxmlformats.org/officeDocument/2006/relationships/theme" Target="/word/theme/theme11.xml" Id="rId5" /><Relationship Type="http://schemas.openxmlformats.org/officeDocument/2006/relationships/numbering" Target="/word/numbering.xml" Id="rId6" /><Relationship Type="http://schemas.openxmlformats.org/officeDocument/2006/relationships/footnotes" Target="/word/footnotes.xml" Id="rId7" /><Relationship Type="http://schemas.openxmlformats.org/officeDocument/2006/relationships/endnotes" Target="/word/endnotes.xml" Id="rId8" /><Relationship Type="http://schemas.openxmlformats.org/officeDocument/2006/relationships/header" Target="/word/header11.xml" Id="rId9" /><Relationship Type="http://schemas.openxmlformats.org/officeDocument/2006/relationships/customXml" Target="/customXml/item1.xml" Id="rId10" /></Relationships>
</file>

<file path=word/theme/theme1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3CDBBD55-D9AE-478F-8C96-86A0E4351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ONLYOFFICE/9.0.4.50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revision>69</cp:revision>
  <dcterms:created xsi:type="dcterms:W3CDTF">2022-05-31T20:41:00Z</dcterms:created>
  <dcterms:modified xsi:type="dcterms:W3CDTF">2025-09-24T10:59:52Z</dcterms:modified>
</cp:coreProperties>
</file>