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щеток навесных для спецтехники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 в течение 1 (одного) рабочего дня со дня предоставления Поставщиком информации об ответственном представителе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фамилия, имя, отчество (при наличии), адрес электронной почты и номер телефона ответственного представителя.</w:t>
              <w:br/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Контракта, если Контрактом или обязательным функционалом ПИК ЕАСУЗ не установлен иной способ направления такого уведомления.</w:t>
              <w:br/>
              <w:t xml:space="preserve">4. Порядок согласования документов, решений и действий, формируемых, принимаемых и реализуемых в ходе исполнения Контракта: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уведомления, требования, документы и решения, включая документы и решения, подлежащие проверке Заказчиком на соответствие требованиям настоящего Технического задания (далее - проверка),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электронных сообщений соблюдаются требования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законодательства Российской Федерации или настоящего Технического задания, проверка осуществляется Заказчиком в течение 5 (пяти) рабочих дней со дня поступления обращения о проверке;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дату, время и место такой передачи;</w:t>
              <w:br/>
              <w:t xml:space="preserve">5) отсутствие сведений о результатах проверки, осуществленной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 отвечающими требованиям, установленным настоящим Техническим заданием;</w:t>
              <w:br/>
              <w:t xml:space="preserve">6) уведомление по результатам проверки о несоответствии представленных документов, решений и сведений должно содержать указание на причины несоответствия и срок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  <w:br/>
              <w:t xml:space="preserve">- 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 (или) упущения поставщика, при соблюдении заказчиком правил эксплуатации поставляемого товара;</w:t>
              <w:br/>
              <w:t xml:space="preserve">- соответствовать требованиям действующих государственных,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 в соответствии с требованиями государственных и международных стандартов, а также актам, указанным в IX Разделе настоящего Технического задания;</w:t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соответствия).</w:t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  <w:br/>
              <w:t xml:space="preserve">4. Поставляемый по Контракту Товар не должен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транспортирования, погрузо-разгрузочных работах 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содержать: наименование изделия, место нахождения и адрес изготовителя, дату выпуска и гарантийный срок службы. Маркировка упаковки должна строго соответствовать маркировке товара и быть читаемой,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Постановление Правительства РФ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 № 2425 от 23.12.2021.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Решении Комиссии Таможенного союза «О безопасности машин и оборудования» ТР ТС 010/2011 от 18.10.2011.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колесных транспортных средств» ТР ТС 018/2011 от 09.12.2011.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