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hanging="0"/>
        <w:contextualSpacing/>
        <w:jc w:val="center"/>
        <w:rPr/>
      </w:pPr>
      <w:r>
        <w:rPr>
          <w:rFonts w:eastAsia="Times New Roman"/>
          <w:b/>
          <w:color w:val="000000"/>
          <w:lang w:eastAsia="ru-RU"/>
        </w:rPr>
        <w:t xml:space="preserve">                             </w:t>
      </w:r>
      <w:r>
        <w:rPr>
          <w:rFonts w:eastAsia="Times New Roman"/>
          <w:b/>
          <w:color w:val="000000"/>
          <w:lang w:eastAsia="ru-RU"/>
        </w:rPr>
        <w:t xml:space="preserve">ОПИСАНИЕ ОБЪЕКТА ЗАКУПКИ (ТЕХНИЧЕСКОЕ ЗАДАНИЕ) </w:t>
      </w:r>
    </w:p>
    <w:p>
      <w:pPr>
        <w:pStyle w:val="Normal"/>
        <w:spacing w:before="0" w:after="0"/>
        <w:ind w:hanging="0"/>
        <w:contextualSpacing/>
        <w:jc w:val="center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  <w:lang w:eastAsia="ru-RU"/>
        </w:rPr>
        <w:t>Оказание услуг по контролю технического состояния лабораторного оборудования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>
      <w:pPr>
        <w:pStyle w:val="Normal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</w:r>
    </w:p>
    <w:p>
      <w:pPr>
        <w:pStyle w:val="Normal"/>
        <w:ind w:hanging="0"/>
        <w:rPr>
          <w:rFonts w:eastAsia="Times New Roman"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 xml:space="preserve">Заказчик: </w:t>
      </w:r>
      <w:r>
        <w:rPr>
          <w:rFonts w:eastAsia="Times New Roman"/>
          <w:color w:val="000000"/>
          <w:lang w:eastAsia="ru-RU"/>
        </w:rPr>
        <w:t>ГБУЗ Московской области «Подольская детская больница»</w:t>
      </w:r>
    </w:p>
    <w:p>
      <w:pPr>
        <w:pStyle w:val="Normal"/>
        <w:ind w:hanging="0"/>
        <w:rPr/>
      </w:pPr>
      <w:r>
        <w:rPr>
          <w:rFonts w:eastAsia="Times New Roman"/>
          <w:b/>
          <w:color w:val="000000"/>
          <w:lang w:eastAsia="ru-RU"/>
        </w:rPr>
        <w:t>Место выполнения работ:</w:t>
      </w:r>
      <w:r>
        <w:rPr>
          <w:rFonts w:eastAsia="Times New Roman"/>
          <w:color w:val="000000"/>
          <w:lang w:eastAsia="ru-RU"/>
        </w:rPr>
        <w:t xml:space="preserve"> Московская область, г.о. Подольск, г. Подольск, ул. Кирова, </w:t>
      </w:r>
      <w:r>
        <w:rPr>
          <w:rFonts w:eastAsia="Times New Roman"/>
          <w:color w:val="000000"/>
          <w:lang w:eastAsia="ru-RU"/>
        </w:rPr>
        <w:t xml:space="preserve">д. </w:t>
      </w:r>
      <w:r>
        <w:rPr>
          <w:rFonts w:eastAsia="Times New Roman"/>
          <w:color w:val="000000"/>
          <w:lang w:eastAsia="ru-RU"/>
        </w:rPr>
        <w:t xml:space="preserve">38 корп.4;  </w:t>
      </w:r>
      <w:r>
        <w:rPr>
          <w:rFonts w:eastAsia="Calibri" w:cs="Times New Roman"/>
          <w:color w:val="000000"/>
          <w:sz w:val="24"/>
          <w:szCs w:val="24"/>
          <w:lang w:eastAsia="ru-RU"/>
        </w:rPr>
        <w:t>Московская область, городской округ Подольск, дер. Бородино, Варшавское шоссе, д. 85</w:t>
      </w:r>
    </w:p>
    <w:p>
      <w:pPr>
        <w:pStyle w:val="Normal"/>
        <w:ind w:hanging="0"/>
        <w:rPr/>
      </w:pPr>
      <w:r>
        <w:rPr>
          <w:rFonts w:eastAsia="Times New Roman"/>
          <w:b/>
          <w:color w:val="000000"/>
          <w:lang w:eastAsia="ru-RU"/>
        </w:rPr>
        <w:t>Требования к порядку оплаты услуг:</w:t>
      </w:r>
      <w:r>
        <w:rPr/>
        <w:t xml:space="preserve"> Авансовый платеж не предусмотрен.</w:t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 xml:space="preserve">Требования к описанию объекта закупки и условий выполнения работ </w:t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>Модели оборудования:</w:t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</w:r>
    </w:p>
    <w:tbl>
      <w:tblPr>
        <w:tblW w:w="14936" w:type="dxa"/>
        <w:jc w:val="left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157"/>
        <w:gridCol w:w="3579"/>
        <w:gridCol w:w="2935"/>
        <w:gridCol w:w="3299"/>
        <w:gridCol w:w="3966"/>
      </w:tblGrid>
      <w:tr>
        <w:trPr>
          <w:trHeight w:val="1800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113" w:left="0" w:right="0"/>
              <w:jc w:val="center"/>
              <w:rPr>
                <w:rFonts w:ascii="Times New Roman" w:hAnsi="Times New Roman"/>
              </w:rPr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113" w:left="283" w:right="0"/>
              <w:jc w:val="center"/>
              <w:rPr>
                <w:rFonts w:ascii="Times New Roman" w:hAnsi="Times New Roman"/>
              </w:rPr>
            </w:pPr>
            <w:r>
              <w:rPr/>
              <w:t xml:space="preserve"> </w:t>
            </w:r>
            <w:r>
              <w:rPr/>
              <w:t>Наименование имущества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57" w:left="0" w:right="0"/>
              <w:jc w:val="center"/>
              <w:rPr>
                <w:rFonts w:ascii="Times New Roman" w:hAnsi="Times New Roman"/>
              </w:rPr>
            </w:pPr>
            <w:r>
              <w:rPr/>
              <w:t>Инвентарный номер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113" w:left="0" w:right="0"/>
              <w:jc w:val="center"/>
              <w:rPr>
                <w:rFonts w:ascii="Times New Roman" w:hAnsi="Times New Roman"/>
              </w:rPr>
            </w:pPr>
            <w:r>
              <w:rPr/>
              <w:t>год выпуска (ввода в эксплуатацию)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510" w:left="680" w:right="0"/>
              <w:jc w:val="center"/>
              <w:rPr>
                <w:rFonts w:ascii="Times New Roman" w:hAnsi="Times New Roman"/>
              </w:rPr>
            </w:pPr>
            <w:r>
              <w:rPr/>
              <w:t>Заводской номер</w:t>
            </w:r>
          </w:p>
        </w:tc>
      </w:tr>
      <w:tr>
        <w:trPr>
          <w:trHeight w:val="285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3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5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>
          <w:trHeight w:val="1447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1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Ап-т ультрозвуковой диагностический ALOKA PROSOUND a 7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1910-680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20209389</w:t>
            </w:r>
          </w:p>
        </w:tc>
      </w:tr>
      <w:tr>
        <w:trPr>
          <w:trHeight w:val="1260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2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Стационарный ультразвуковой аппарат(система диагност.) LOGQ3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130005-680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2006   (2006)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113" w:left="0" w:right="0"/>
              <w:jc w:val="center"/>
              <w:rPr>
                <w:rFonts w:ascii="Times New Roman" w:hAnsi="Times New Roman"/>
              </w:rPr>
            </w:pPr>
            <w:r>
              <w:rPr/>
              <w:t>37211 WSO</w:t>
            </w:r>
          </w:p>
        </w:tc>
      </w:tr>
      <w:tr>
        <w:trPr>
          <w:trHeight w:val="1223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3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Автоматический гематологический анализатор ABACUS JUNIOR EO, Diatron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130044-660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420008</w:t>
            </w:r>
          </w:p>
        </w:tc>
      </w:tr>
      <w:tr>
        <w:trPr>
          <w:trHeight w:val="1485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4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Биохимический анализатор полуавтоматический CHEM WELL 2900(T)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130045-660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4600-0359</w:t>
            </w:r>
          </w:p>
        </w:tc>
      </w:tr>
      <w:tr>
        <w:trPr>
          <w:trHeight w:val="1223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5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Ультразвуковой цифровой диагностический сканер SONOACE R 7-RUS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130046-660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2012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В1С403300001209</w:t>
            </w:r>
          </w:p>
        </w:tc>
      </w:tr>
      <w:tr>
        <w:trPr>
          <w:trHeight w:val="1223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6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Автоматический гематологический анализатор ABACUS JUNIOR EO. Diatron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130048-680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420009</w:t>
            </w:r>
          </w:p>
        </w:tc>
      </w:tr>
      <w:tr>
        <w:trPr>
          <w:trHeight w:val="507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7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Аппаратура  БОС в комплекте.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137038-680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2002 (2002)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1F9-20902004</w:t>
            </w:r>
          </w:p>
        </w:tc>
      </w:tr>
      <w:tr>
        <w:trPr>
          <w:trHeight w:val="507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8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Доплер ASU-35B-5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137040-680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2000  (2000)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910216</w:t>
            </w:r>
          </w:p>
        </w:tc>
      </w:tr>
      <w:tr>
        <w:trPr>
          <w:trHeight w:val="746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9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Аппарат  БОС психоэмоционального состояния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137045-680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2000  (2000)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DT15H1ENC19051P</w:t>
            </w:r>
          </w:p>
        </w:tc>
      </w:tr>
      <w:tr>
        <w:trPr>
          <w:trHeight w:val="1223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10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Биохимический анализатор полуавтоматический CHEM WELL 2900(T) (Awareness)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150047-630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2011 (2011)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4600-0372</w:t>
            </w:r>
          </w:p>
        </w:tc>
      </w:tr>
      <w:tr>
        <w:trPr>
          <w:trHeight w:val="746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11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Стерилизатор паровой ГК-100-4 03.04.2013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991038885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2013  (2013)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790313</w:t>
            </w:r>
          </w:p>
        </w:tc>
      </w:tr>
      <w:tr>
        <w:trPr>
          <w:trHeight w:val="1462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firstLine="283" w:left="0" w:right="0"/>
              <w:jc w:val="center"/>
              <w:rPr>
                <w:rFonts w:ascii="Times New Roman" w:hAnsi="Times New Roman"/>
              </w:rPr>
            </w:pPr>
            <w:r>
              <w:rPr/>
              <w:t>12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/>
              <w:t>Аппарат ультразв. диагностиич. с принадл. универс."ALOKA PROSAUND &amp;7"02.09.2013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991039100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2013  (2013)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/>
              <w:t>20330650</w:t>
            </w:r>
          </w:p>
        </w:tc>
      </w:tr>
      <w:tr>
        <w:trPr>
          <w:trHeight w:val="1940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13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Комплекс рентгеновский диагностический"РИМ" на два раб.места №078/13 по ТУ 9442-001-78471775-2004(исполнение-04) 05.12.2013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991039179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2013  (2013)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078/13</w:t>
            </w:r>
          </w:p>
        </w:tc>
      </w:tr>
      <w:tr>
        <w:trPr>
          <w:trHeight w:val="507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14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Лор-комбайн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10124000003955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2011 (2011)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030037008-089443-2011-11</w:t>
            </w:r>
          </w:p>
        </w:tc>
      </w:tr>
      <w:tr>
        <w:trPr>
          <w:trHeight w:val="985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15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Аппарат рентгеновский мобильный Movix 4,0 Франция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41012414000004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2012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PKS 12879</w:t>
            </w:r>
          </w:p>
        </w:tc>
      </w:tr>
      <w:tr>
        <w:trPr>
          <w:trHeight w:val="985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16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Инкубатор для новорожденных  Neo Servj I с принадл. Япония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41012414000014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21Z0938</w:t>
            </w:r>
          </w:p>
        </w:tc>
      </w:tr>
      <w:tr>
        <w:trPr>
          <w:trHeight w:val="985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17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Инкубатор для новорожденных  Neo Servj I с принадл. Япония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41012414000015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21Z0945</w:t>
            </w:r>
          </w:p>
        </w:tc>
      </w:tr>
      <w:tr>
        <w:trPr>
          <w:trHeight w:val="985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18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Инкубатор для новорожденных  Neo Servj I с принадл. Япония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41012414000016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21Z0942</w:t>
            </w:r>
          </w:p>
        </w:tc>
      </w:tr>
      <w:tr>
        <w:trPr>
          <w:trHeight w:val="985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19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Инкубатор для новорожденных  Neo Servj I с принадл. Япония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41012414000017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21Z0642</w:t>
            </w:r>
          </w:p>
        </w:tc>
      </w:tr>
      <w:tr>
        <w:trPr>
          <w:trHeight w:val="985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Инкубатор для новорожденных  Neo Servj I с принадл. Япония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41012414000018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21Z0793</w:t>
            </w:r>
          </w:p>
        </w:tc>
      </w:tr>
      <w:tr>
        <w:trPr>
          <w:trHeight w:val="985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21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Инкубатор для новорожденных  Neo Servj I с принадл. Япония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41012414000019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21Z0051</w:t>
            </w:r>
          </w:p>
        </w:tc>
      </w:tr>
      <w:tr>
        <w:trPr>
          <w:trHeight w:val="746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22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Инкубатор для новорожденных  Inci с принадл. Япония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41012414000020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21Y0374</w:t>
            </w:r>
          </w:p>
        </w:tc>
      </w:tr>
      <w:tr>
        <w:trPr>
          <w:trHeight w:val="746" w:hRule="atLeast"/>
        </w:trPr>
        <w:tc>
          <w:tcPr>
            <w:tcW w:w="1157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23</w:t>
            </w:r>
          </w:p>
        </w:tc>
        <w:tc>
          <w:tcPr>
            <w:tcW w:w="3579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</w:tabs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Инкубатор для новорожденных  Inci с принадл. Япония</w:t>
            </w:r>
          </w:p>
        </w:tc>
        <w:tc>
          <w:tcPr>
            <w:tcW w:w="2935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41012414000021</w:t>
            </w:r>
          </w:p>
        </w:tc>
        <w:tc>
          <w:tcPr>
            <w:tcW w:w="3299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/>
              <w:t>2011 (2012)</w:t>
            </w:r>
          </w:p>
        </w:tc>
        <w:tc>
          <w:tcPr>
            <w:tcW w:w="3966" w:type="dxa"/>
            <w:tcBorders/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/>
            </w:pPr>
            <w:r>
              <w:rPr>
                <w:rFonts w:ascii="Calibri" w:hAnsi="Calibri"/>
              </w:rPr>
              <w:t>21Y0271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</w:r>
    </w:p>
    <w:p>
      <w:pPr>
        <w:pStyle w:val="Normal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 xml:space="preserve">1. Перечень оказываемых услуг. </w:t>
      </w:r>
    </w:p>
    <w:p>
      <w:pPr>
        <w:pStyle w:val="Normal"/>
        <w:spacing w:before="0" w:after="0"/>
        <w:ind w:hanging="0"/>
        <w:contextualSpacing/>
        <w:rPr>
          <w:rFonts w:eastAsia="Calibri"/>
        </w:rPr>
      </w:pPr>
      <w:r>
        <w:rPr>
          <w:rFonts w:eastAsia="Calibri"/>
        </w:rPr>
        <w:t>1.1 Под диагностикой понимается процесс анализа, заключения и выводов о техническом состоянии оборудования, при котором определяется степень исправности оборудования, за счет сравнительного анализа полученных данных с параметрами, установленными в технической документации к оборудованию.</w:t>
      </w:r>
    </w:p>
    <w:p>
      <w:pPr>
        <w:pStyle w:val="Normal"/>
        <w:spacing w:before="0" w:after="0"/>
        <w:ind w:firstLine="567"/>
        <w:contextualSpacing/>
        <w:rPr>
          <w:rFonts w:eastAsia="Calibri"/>
        </w:rPr>
      </w:pPr>
      <w:r>
        <w:rPr>
          <w:rFonts w:eastAsia="Calibri"/>
        </w:rPr>
        <w:t>Диагностика включает в себя:</w:t>
      </w:r>
    </w:p>
    <w:p>
      <w:pPr>
        <w:pStyle w:val="Normal"/>
        <w:spacing w:before="0" w:after="0"/>
        <w:ind w:firstLine="567"/>
        <w:contextualSpacing/>
        <w:rPr>
          <w:rFonts w:eastAsia="Calibri"/>
        </w:rPr>
      </w:pPr>
      <w:r>
        <w:rPr>
          <w:rFonts w:eastAsia="Calibri"/>
        </w:rPr>
        <w:t>- визуальный и измерительный контроль;</w:t>
      </w:r>
    </w:p>
    <w:p>
      <w:pPr>
        <w:pStyle w:val="Normal"/>
        <w:spacing w:before="0" w:after="0"/>
        <w:ind w:firstLine="567"/>
        <w:contextualSpacing/>
        <w:rPr>
          <w:rFonts w:eastAsia="Calibri"/>
        </w:rPr>
      </w:pPr>
      <w:r>
        <w:rPr>
          <w:rFonts w:eastAsia="Calibri"/>
        </w:rPr>
        <w:t>- оперативное (функциональное) диагностирование для получения информации о состоянии, фактических параметрах работы, фактической нагрузки оборудования в реальных условиях эксплуатации;</w:t>
      </w:r>
    </w:p>
    <w:p>
      <w:pPr>
        <w:pStyle w:val="Normal"/>
        <w:spacing w:before="0" w:after="0"/>
        <w:ind w:firstLine="567"/>
        <w:contextualSpacing/>
        <w:rPr>
          <w:rFonts w:eastAsia="Calibri"/>
        </w:rPr>
      </w:pPr>
      <w:r>
        <w:rPr>
          <w:rFonts w:eastAsia="Calibri"/>
        </w:rPr>
        <w:t>- определение действующих повреждающих факторов, механизмов повреждения и восприимчивости материала оборудования к механизмам повреждения, оценку качества соединений, наличие смазки и загрязнений на элементах оборудования;</w:t>
      </w:r>
    </w:p>
    <w:p>
      <w:pPr>
        <w:pStyle w:val="Normal"/>
        <w:spacing w:before="0" w:after="0"/>
        <w:ind w:firstLine="567"/>
        <w:contextualSpacing/>
        <w:rPr>
          <w:rFonts w:eastAsia="Calibri"/>
        </w:rPr>
      </w:pPr>
      <w:r>
        <w:rPr>
          <w:rFonts w:eastAsia="Calibri"/>
        </w:rPr>
        <w:t>- оценку выявленных дефектов на основании результатов визуального и измерительного контроля, оценку остаточного ресурса (срока службы);</w:t>
      </w:r>
    </w:p>
    <w:p>
      <w:pPr>
        <w:pStyle w:val="Normal"/>
        <w:spacing w:before="0" w:after="0"/>
        <w:ind w:firstLine="567"/>
        <w:contextualSpacing/>
        <w:rPr>
          <w:rFonts w:eastAsia="Calibri"/>
        </w:rPr>
      </w:pPr>
      <w:r>
        <w:rPr>
          <w:rFonts w:eastAsia="Calibri"/>
        </w:rPr>
        <w:t>- определение необходимых действий и запасных частей для восстановления работоспособности оборудования;</w:t>
      </w:r>
    </w:p>
    <w:p>
      <w:pPr>
        <w:pStyle w:val="Normal"/>
        <w:spacing w:before="0" w:after="0"/>
        <w:ind w:firstLine="567"/>
        <w:contextualSpacing/>
        <w:rPr>
          <w:rFonts w:eastAsia="Calibri"/>
        </w:rPr>
      </w:pPr>
      <w:r>
        <w:rPr>
          <w:rFonts w:eastAsia="Calibri"/>
        </w:rPr>
        <w:t>- восстановление работоспособности оборудования в процессе диагностики, в случае если запасные части для ремонта не требуются.</w:t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/>
        <w:rPr>
          <w:rFonts w:eastAsia="Times New Roman"/>
          <w:color w:themeColor="text1" w:val="000000"/>
          <w:lang w:eastAsia="ru-RU"/>
        </w:rPr>
      </w:pPr>
      <w:r>
        <w:rPr>
          <w:rFonts w:eastAsia="Times New Roman"/>
          <w:color w:themeColor="text1" w:val="000000"/>
          <w:lang w:eastAsia="ru-RU"/>
        </w:rPr>
        <w:t>1.2. Исполнитель должен осуществить работы по диагностике Оборудования в соответствии с Заявкой Заказчика, на основании лицензии на осуществление деятельности по производству и техническому обслуживанию медицинской техники, выданной Росздравнадзором.</w:t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/>
        <w:rPr>
          <w:rFonts w:eastAsia="Times New Roman"/>
          <w:color w:themeColor="text1" w:val="000000"/>
          <w:lang w:eastAsia="ru-RU"/>
        </w:rPr>
      </w:pPr>
      <w:r>
        <w:rPr>
          <w:rFonts w:eastAsia="Times New Roman"/>
          <w:color w:themeColor="text1" w:val="000000"/>
          <w:lang w:eastAsia="ru-RU"/>
        </w:rPr>
        <w:t>1.3. И</w:t>
      </w:r>
      <w:r>
        <w:rPr>
          <w:color w:themeColor="text1" w:val="000000"/>
          <w:lang w:eastAsia="ru-RU"/>
        </w:rPr>
        <w:t xml:space="preserve">сполнитель вправе привлечь к исполнению своих обязательств третьих лиц, за действия которых полностью несет ответственность Исполнитель, при этом привлеченные лица должны соответствовать требованиям, установленным законодательством РФ к лицам, осуществляющим соответствующие работы. </w:t>
      </w:r>
      <w:r>
        <w:rPr>
          <w:color w:themeColor="text1" w:val="000000"/>
        </w:rPr>
        <w:t>Привлечение Исполнителем третьих лиц для выполнения обязательств допускается с письменного согласия Заказчика.</w:t>
      </w:r>
    </w:p>
    <w:p>
      <w:pPr>
        <w:pStyle w:val="Normal"/>
        <w:spacing w:lineRule="atLeast" w:line="22"/>
        <w:ind w:hanging="0"/>
        <w:jc w:val="left"/>
        <w:rPr>
          <w:rFonts w:eastAsia="Times New Roman"/>
          <w:color w:themeColor="text1" w:val="000000"/>
          <w:lang w:eastAsia="ru-RU"/>
        </w:rPr>
      </w:pPr>
      <w:r>
        <w:rPr>
          <w:rFonts w:eastAsia="Times New Roman"/>
          <w:color w:themeColor="text1" w:val="000000"/>
          <w:lang w:eastAsia="ru-RU"/>
        </w:rPr>
        <w:t>1.4. Исполнитель обязуется соблюдать необходимые квалификационные требования и необходимую профессиональную подготовку сотрудников Исполнителя или привлеченных специалистов при оказании услуг по диагностике  медицинской техники.</w:t>
      </w:r>
    </w:p>
    <w:p>
      <w:pPr>
        <w:pStyle w:val="ListParagraph"/>
        <w:tabs>
          <w:tab w:val="clear" w:pos="708"/>
          <w:tab w:val="left" w:pos="851" w:leader="none"/>
        </w:tabs>
        <w:spacing w:lineRule="atLeast" w:line="22"/>
        <w:ind w:hanging="0" w:left="426"/>
        <w:rPr>
          <w:rFonts w:ascii="Times New Roman" w:hAnsi="Times New Roman" w:eastAsia="Times New Roman"/>
          <w:b/>
          <w:color w:themeColor="text1"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color w:themeColor="text1" w:val="000000"/>
          <w:sz w:val="24"/>
          <w:szCs w:val="24"/>
          <w:lang w:eastAsia="ru-RU"/>
        </w:rPr>
        <w:t>2. Порядок сдачи-приемки услуг:</w:t>
      </w:r>
    </w:p>
    <w:p>
      <w:pPr>
        <w:pStyle w:val="ListParagraph"/>
        <w:tabs>
          <w:tab w:val="clear" w:pos="708"/>
          <w:tab w:val="left" w:pos="851" w:leader="none"/>
        </w:tabs>
        <w:spacing w:lineRule="atLeast" w:line="22"/>
        <w:ind w:firstLine="360" w:left="0"/>
        <w:jc w:val="both"/>
        <w:rPr>
          <w:rFonts w:ascii="Times New Roman" w:hAnsi="Times New Roman" w:eastAsia="Times New Roman"/>
          <w:color w:themeColor="text1"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themeColor="text1" w:val="000000"/>
          <w:sz w:val="24"/>
          <w:szCs w:val="24"/>
          <w:lang w:eastAsia="ru-RU"/>
        </w:rPr>
        <w:t xml:space="preserve">2.1. Исполнитель обязуется перед направлением  Заказчику документов исполнения  по результатам оказанной услуги по диагностике, предварительно подписать Сервисный акт </w:t>
      </w:r>
      <w:r>
        <w:rPr>
          <w:rFonts w:ascii="Times New Roman" w:hAnsi="Times New Roman"/>
          <w:color w:themeColor="text1" w:val="000000"/>
          <w:sz w:val="24"/>
          <w:szCs w:val="24"/>
        </w:rPr>
        <w:t xml:space="preserve">по форме,  в </w:t>
      </w:r>
      <w:r>
        <w:rPr>
          <w:rFonts w:eastAsia="Times New Roman" w:ascii="Times New Roman" w:hAnsi="Times New Roman"/>
          <w:color w:themeColor="text1" w:val="000000"/>
          <w:sz w:val="24"/>
          <w:szCs w:val="24"/>
          <w:lang w:eastAsia="ru-RU"/>
        </w:rPr>
        <w:t xml:space="preserve">Приложении №1 к Описанию объекта закупки (Техническому заданию) (далее – «Сервисный акт») у уполномоченного представителя учреждения  для подтверждения фактического выполнения работ. </w:t>
      </w:r>
    </w:p>
    <w:p>
      <w:pPr>
        <w:pStyle w:val="Normal"/>
        <w:ind w:hanging="0"/>
        <w:jc w:val="left"/>
        <w:rPr/>
      </w:pPr>
      <w:r>
        <w:rPr>
          <w:rFonts w:eastAsia="Times New Roman"/>
          <w:color w:themeColor="text1" w:val="000000"/>
          <w:lang w:eastAsia="ru-RU"/>
        </w:rPr>
        <w:t xml:space="preserve">2.2. </w:t>
      </w:r>
      <w:r>
        <w:rPr/>
        <w:t>По завершении оказания услуги Исполнитель не позднее следующего рабочего дня обязуется направить на электронную почту Заказчика (</w:t>
      </w:r>
      <w:r>
        <w:rPr>
          <w:rFonts w:cs="TimesNewRomanPSMT" w:ascii="TimesNewRomanPSMT" w:hAnsi="TimesNewRomanPSMT"/>
          <w:i/>
          <w:iCs/>
        </w:rPr>
        <w:t>pdgb</w:t>
      </w:r>
      <w:r>
        <w:rPr>
          <w:i/>
          <w:iCs/>
        </w:rPr>
        <w:t>podolsk@mail.ru</w:t>
      </w:r>
      <w:r>
        <w:rPr/>
        <w:t>)</w:t>
      </w:r>
      <w:r>
        <w:rPr>
          <w:color w:val="FF0000"/>
        </w:rPr>
        <w:t xml:space="preserve"> </w:t>
      </w:r>
      <w:r>
        <w:rPr/>
        <w:t xml:space="preserve">скан надлежащим образом оформленного Сервисного акта. </w:t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 w:left="568"/>
        <w:rPr>
          <w:rFonts w:eastAsia="Times New Roman"/>
          <w:color w:themeColor="text1" w:val="000000"/>
          <w:lang w:eastAsia="ru-RU"/>
        </w:rPr>
      </w:pPr>
      <w:r>
        <w:rPr>
          <w:rFonts w:eastAsia="Times New Roman"/>
          <w:color w:themeColor="text1" w:val="000000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/>
        <w:rPr>
          <w:rFonts w:eastAsia="Times New Roman"/>
          <w:b/>
          <w:color w:themeColor="text1" w:val="000000"/>
          <w:lang w:eastAsia="ru-RU"/>
        </w:rPr>
      </w:pPr>
      <w:r>
        <w:rPr>
          <w:rFonts w:eastAsia="Times New Roman"/>
          <w:b/>
          <w:color w:themeColor="text1" w:val="000000"/>
          <w:lang w:eastAsia="ru-RU"/>
        </w:rPr>
        <w:t xml:space="preserve">      </w:t>
      </w:r>
      <w:r>
        <w:rPr>
          <w:rFonts w:eastAsia="Times New Roman"/>
          <w:b/>
          <w:color w:themeColor="text1" w:val="000000"/>
          <w:lang w:eastAsia="ru-RU"/>
        </w:rPr>
        <w:t>3.Требования к качеству и безопасности оказания услуг:</w:t>
      </w:r>
    </w:p>
    <w:p>
      <w:pPr>
        <w:pStyle w:val="Normal"/>
        <w:numPr>
          <w:ilvl w:val="0"/>
          <w:numId w:val="0"/>
        </w:numPr>
        <w:ind w:firstLine="567" w:left="0"/>
        <w:outlineLvl w:val="0"/>
        <w:rPr/>
      </w:pPr>
      <w:r>
        <w:rPr>
          <w:rFonts w:eastAsia="Times New Roman"/>
          <w:lang w:eastAsia="ru-RU"/>
        </w:rPr>
        <w:t xml:space="preserve">3.1. </w:t>
      </w:r>
      <w:r>
        <w:rPr/>
        <w:t>Качество и безопасность услуг должны удовлетворять требованиям следующих нормативных документов: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5" w:leader="none"/>
        </w:tabs>
        <w:spacing w:lineRule="exact" w:line="274"/>
        <w:ind w:firstLine="567" w:left="20" w:right="20"/>
        <w:rPr/>
      </w:pPr>
      <w:r>
        <w:rPr/>
        <w:t>Федеральный закон №99-ФЗ от 04.05.11 «О лицензировании отдельных видов деятельности»;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5" w:leader="none"/>
        </w:tabs>
        <w:spacing w:lineRule="exact" w:line="274"/>
        <w:ind w:firstLine="567" w:left="20" w:right="20"/>
        <w:rPr/>
      </w:pPr>
      <w:r>
        <w:rPr/>
        <w:t>Федеральный закон №323-ФЗ «Об основах охраны здоровья граждан в Российской Федерации» от 21.11.2011г.</w:t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firstLine="567"/>
        <w:rPr/>
      </w:pPr>
      <w:r>
        <w:rPr/>
        <w:t xml:space="preserve">-  </w:t>
      </w:r>
      <w:hyperlink r:id="rId2">
        <w:r>
          <w:rPr>
            <w:rStyle w:val="Style9"/>
          </w:rPr>
          <w:t>ППБО 07-91 Правила пожарной безопасности для учреждений здравоохранения</w:t>
        </w:r>
      </w:hyperlink>
    </w:p>
    <w:p>
      <w:pPr>
        <w:pStyle w:val="Normal"/>
        <w:widowControl w:val="false"/>
        <w:tabs>
          <w:tab w:val="clear" w:pos="708"/>
          <w:tab w:val="left" w:pos="285" w:leader="none"/>
        </w:tabs>
        <w:spacing w:lineRule="exact" w:line="274"/>
        <w:ind w:firstLine="567" w:left="20" w:right="20"/>
        <w:rPr/>
      </w:pPr>
      <w:r>
        <w:rPr/>
        <w:t>- ГОСТ Р 58451-2019 Изделия медицинские. Обслуживание техническое.</w:t>
      </w:r>
    </w:p>
    <w:p>
      <w:pPr>
        <w:pStyle w:val="ConsPlusNormal"/>
        <w:spacing w:lineRule="auto" w:line="252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eastAsia="Times New Roman"/>
          <w:color w:themeColor="text1" w:val="000000"/>
        </w:rPr>
        <w:t xml:space="preserve">3.2. </w:t>
      </w:r>
      <w:r>
        <w:rPr>
          <w:rFonts w:cs="Times New Roman" w:ascii="Times New Roman" w:hAnsi="Times New Roman"/>
          <w:sz w:val="24"/>
          <w:szCs w:val="24"/>
          <w:lang w:eastAsia="en-US"/>
        </w:rPr>
        <w:t>Специалисты, осуществляющие работы должны соответствовать следующим квалификационным требованиям:</w:t>
      </w:r>
    </w:p>
    <w:p>
      <w:pPr>
        <w:pStyle w:val="Normal"/>
        <w:spacing w:lineRule="auto" w:line="252"/>
        <w:ind w:firstLine="567"/>
        <w:rPr/>
      </w:pPr>
      <w:r>
        <w:rPr/>
        <w:t>3.2.1. наличие высшего или среднего профессионального технического образования;</w:t>
      </w:r>
    </w:p>
    <w:p>
      <w:pPr>
        <w:pStyle w:val="Normal"/>
        <w:spacing w:lineRule="auto" w:line="252"/>
        <w:ind w:firstLine="567"/>
        <w:rPr/>
      </w:pPr>
      <w:r>
        <w:rPr/>
        <w:t>3.2.2. наличие дополнительного профессионального образования, повышения квалификации (не реже одного раза в 5 лет) по техническому обслуживанию соответствующих видов медицинской техники, подтверждённого документом государственного образца;</w:t>
      </w:r>
    </w:p>
    <w:p>
      <w:pPr>
        <w:pStyle w:val="Normal"/>
        <w:spacing w:lineRule="auto" w:line="252"/>
        <w:ind w:firstLine="567"/>
        <w:rPr/>
      </w:pPr>
      <w:r>
        <w:rPr/>
        <w:t xml:space="preserve">3.3.3.наличие обучения на предприятиях-производителях соответствующих видов (наименований) медицинской техники и/или в организациях и учреждениях, имеющих право осуществлять соответствующие виды образовательной деятельности (обучение, профессиональную подготовку, повышение квалификации), по техническому обслуживанию соответствующего </w:t>
      </w:r>
      <w:r>
        <w:rPr>
          <w:color w:val="000000"/>
        </w:rPr>
        <w:t>видов медицинской техники</w:t>
      </w:r>
      <w:r>
        <w:rPr/>
        <w:t>, подтверждённое документом установленного образца.</w:t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firstLine="567"/>
        <w:rPr>
          <w:rFonts w:eastAsia="Times New Roman"/>
          <w:color w:themeColor="text1" w:val="000000"/>
          <w:lang w:eastAsia="ru-RU"/>
        </w:rPr>
      </w:pPr>
      <w:r>
        <w:rPr/>
        <w:t>3.3. При выполнении работ техники в целях обеспечения безопасности медицинского и обслуживающего персонала Заказчика и экологической безопасности проводимых работ специалисты должны соблюдать требования нормативных документов в области техники безопасности, пожарной безопасности, электробезопасности, охраны труда, охраны окружающей среды, санитарно-эпидемиологического режима. Специалисты Исполнителя является выполнение правил внутреннего трудового распорядка и соблюдение правил пропускного режима, установленные у Заказчика.</w:t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 w:left="568"/>
        <w:rPr>
          <w:rFonts w:eastAsia="Times New Roman"/>
          <w:color w:themeColor="text1" w:val="000000"/>
          <w:lang w:eastAsia="ru-RU"/>
        </w:rPr>
      </w:pPr>
      <w:r>
        <w:rPr>
          <w:rFonts w:eastAsia="Times New Roman"/>
          <w:color w:themeColor="text1" w:val="000000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tLeast" w:line="22"/>
        <w:ind w:hanging="0" w:left="568"/>
        <w:rPr>
          <w:rFonts w:eastAsia="Times New Roman"/>
          <w:color w:themeColor="text1" w:val="000000"/>
          <w:lang w:eastAsia="ru-RU"/>
        </w:rPr>
      </w:pPr>
      <w:r>
        <w:rPr>
          <w:rFonts w:eastAsia="Times New Roman"/>
          <w:color w:themeColor="text1" w:val="000000"/>
          <w:lang w:eastAsia="ru-RU"/>
        </w:rPr>
      </w:r>
    </w:p>
    <w:p>
      <w:pPr>
        <w:pStyle w:val="Normal"/>
        <w:spacing w:lineRule="atLeast" w:line="22"/>
        <w:ind w:firstLine="567"/>
        <w:rPr>
          <w:b/>
        </w:rPr>
      </w:pPr>
      <w:r>
        <w:rPr>
          <w:b/>
        </w:rPr>
        <w:t>Список приложений к Техническому заданию:</w:t>
      </w:r>
    </w:p>
    <w:p>
      <w:pPr>
        <w:pStyle w:val="Normal"/>
        <w:spacing w:lineRule="atLeast" w:line="22"/>
        <w:rPr/>
      </w:pPr>
      <w:r>
        <w:rPr/>
        <w:t>- Приложение № 1 – Форма Сервисного акта;</w:t>
      </w:r>
    </w:p>
    <w:p>
      <w:pPr>
        <w:pStyle w:val="Normal"/>
        <w:spacing w:lineRule="atLeast" w:line="22"/>
        <w:rPr/>
      </w:pPr>
      <w:r>
        <w:rPr/>
      </w:r>
    </w:p>
    <w:p>
      <w:pPr>
        <w:pStyle w:val="Normal"/>
        <w:spacing w:before="0" w:after="0"/>
        <w:ind w:hanging="0"/>
        <w:contextualSpacing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</w:r>
    </w:p>
    <w:p>
      <w:pPr>
        <w:pStyle w:val="Normal"/>
        <w:spacing w:before="0" w:after="0"/>
        <w:ind w:hanging="0"/>
        <w:contextualSpacing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</w:r>
    </w:p>
    <w:p>
      <w:pPr>
        <w:pStyle w:val="Normal"/>
        <w:spacing w:before="0" w:after="0"/>
        <w:ind w:hanging="0"/>
        <w:contextualSpacing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</w:r>
    </w:p>
    <w:p>
      <w:pPr>
        <w:pStyle w:val="Normal"/>
        <w:spacing w:lineRule="atLeast" w:line="22"/>
        <w:rPr/>
      </w:pPr>
      <w:r>
        <w:rPr/>
      </w:r>
    </w:p>
    <w:p>
      <w:pPr>
        <w:pStyle w:val="Normal"/>
        <w:spacing w:lineRule="atLeast" w:line="22" w:before="0" w:after="0"/>
        <w:rPr/>
        <w:sectPr>
          <w:type w:val="nextPage"/>
          <w:pgSz w:orient="landscape" w:w="16838" w:h="11906"/>
          <w:pgMar w:left="993" w:right="566" w:gutter="0" w:header="0" w:top="567" w:footer="0" w:bottom="851"/>
          <w:pgNumType w:fmt="decimal"/>
          <w:formProt w:val="false"/>
          <w:textDirection w:val="lrTb"/>
          <w:docGrid w:type="default" w:linePitch="100" w:charSpace="0"/>
        </w:sectPr>
      </w:pPr>
      <w:r>
        <w:rPr/>
      </w:r>
    </w:p>
    <w:p>
      <w:pPr>
        <w:pStyle w:val="Normal"/>
        <w:jc w:val="right"/>
        <w:rPr>
          <w:rFonts w:eastAsia="Arial"/>
          <w:b/>
        </w:rPr>
      </w:pPr>
      <w:r>
        <w:rPr>
          <w:rFonts w:eastAsia="Arial"/>
          <w:b/>
        </w:rPr>
        <w:t xml:space="preserve">Приложение № 1 </w:t>
      </w:r>
    </w:p>
    <w:p>
      <w:pPr>
        <w:pStyle w:val="Normal"/>
        <w:tabs>
          <w:tab w:val="clear" w:pos="708"/>
          <w:tab w:val="left" w:pos="4138" w:leader="none"/>
          <w:tab w:val="left" w:pos="6533" w:leader="underscore"/>
        </w:tabs>
        <w:ind w:hanging="0" w:left="206"/>
        <w:jc w:val="right"/>
        <w:rPr>
          <w:b/>
        </w:rPr>
      </w:pPr>
      <w:r>
        <w:rPr>
          <w:b/>
        </w:rPr>
        <w:t xml:space="preserve">к  Описанию объекта закупки (Техническому заданию) </w:t>
      </w:r>
    </w:p>
    <w:p>
      <w:pPr>
        <w:pStyle w:val="Normal"/>
        <w:tabs>
          <w:tab w:val="clear" w:pos="708"/>
          <w:tab w:val="left" w:pos="4138" w:leader="none"/>
          <w:tab w:val="left" w:pos="6533" w:leader="underscore"/>
        </w:tabs>
        <w:ind w:hanging="0" w:left="206"/>
        <w:jc w:val="center"/>
        <w:rPr>
          <w:b/>
        </w:rPr>
      </w:pPr>
      <w:r>
        <w:rPr>
          <w:b/>
        </w:rPr>
        <w:t>ФОРМА</w:t>
      </w:r>
      <w:r>
        <w:rPr>
          <w:b/>
          <w:vertAlign w:val="superscript"/>
        </w:rPr>
        <w:t>*</w:t>
      </w:r>
    </w:p>
    <w:p>
      <w:pPr>
        <w:pStyle w:val="Normal"/>
        <w:tabs>
          <w:tab w:val="clear" w:pos="708"/>
          <w:tab w:val="left" w:pos="4138" w:leader="none"/>
          <w:tab w:val="left" w:pos="6533" w:leader="underscore"/>
        </w:tabs>
        <w:ind w:hanging="0" w:left="206"/>
        <w:jc w:val="center"/>
        <w:rPr>
          <w:b/>
          <w:vertAlign w:val="superscript"/>
        </w:rPr>
      </w:pPr>
      <w:r>
        <w:rPr>
          <w:b/>
        </w:rPr>
        <w:t>СЕРВИСНЫЙ АКТ</w:t>
      </w:r>
    </w:p>
    <w:tbl>
      <w:tblPr>
        <w:tblStyle w:val="ac"/>
        <w:tblW w:w="11201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2a0" w:firstRow="1" w:noVBand="0" w:lastRow="0" w:firstColumn="1" w:lastColumn="0" w:noHBand="1"/>
      </w:tblPr>
      <w:tblGrid>
        <w:gridCol w:w="2131"/>
        <w:gridCol w:w="1558"/>
        <w:gridCol w:w="994"/>
        <w:gridCol w:w="709"/>
        <w:gridCol w:w="135"/>
        <w:gridCol w:w="709"/>
        <w:gridCol w:w="430"/>
        <w:gridCol w:w="1026"/>
        <w:gridCol w:w="391"/>
        <w:gridCol w:w="988"/>
        <w:gridCol w:w="288"/>
        <w:gridCol w:w="1842"/>
      </w:tblGrid>
      <w:tr>
        <w:trPr>
          <w:trHeight w:val="98" w:hRule="atLeast"/>
        </w:trPr>
        <w:tc>
          <w:tcPr>
            <w:tcW w:w="36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 w:right="-102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Представителем</w:t>
            </w:r>
          </w:p>
        </w:tc>
        <w:tc>
          <w:tcPr>
            <w:tcW w:w="7512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134" w:hRule="atLeast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 w:right="33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и представителем</w:t>
            </w:r>
          </w:p>
        </w:tc>
        <w:tc>
          <w:tcPr>
            <w:tcW w:w="9070" w:type="dxa"/>
            <w:gridSpan w:val="11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266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составлен настоящий акт на предмет проведения следующих видов работ:</w:t>
            </w:r>
          </w:p>
        </w:tc>
      </w:tr>
      <w:tr>
        <w:trPr>
          <w:trHeight w:val="266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mc:AlternateContent>
                <mc:Choice Requires="wps">
                  <w:drawing>
                    <wp:anchor distT="1905" distB="2540" distL="1905" distR="2540" simplePos="0" relativeHeight="2" behindDoc="0" locked="0" layoutInCell="1" allowOverlap="1" wp14:anchorId="7B0C44A0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28575</wp:posOffset>
                      </wp:positionV>
                      <wp:extent cx="152400" cy="132080"/>
                      <wp:effectExtent l="1905" t="1905" r="2540" b="2540"/>
                      <wp:wrapNone/>
                      <wp:docPr id="1" name="Рамка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3" behindDoc="0" locked="0" layoutInCell="1" allowOverlap="1" wp14:anchorId="6F094BC5">
                      <wp:simplePos x="0" y="0"/>
                      <wp:positionH relativeFrom="column">
                        <wp:posOffset>4598035</wp:posOffset>
                      </wp:positionH>
                      <wp:positionV relativeFrom="paragraph">
                        <wp:posOffset>28575</wp:posOffset>
                      </wp:positionV>
                      <wp:extent cx="152400" cy="132080"/>
                      <wp:effectExtent l="1905" t="1905" r="2540" b="2540"/>
                      <wp:wrapNone/>
                      <wp:docPr id="2" name="Рамка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4" behindDoc="0" locked="0" layoutInCell="1" allowOverlap="1" wp14:anchorId="45C6D0C3">
                      <wp:simplePos x="0" y="0"/>
                      <wp:positionH relativeFrom="column">
                        <wp:posOffset>1894205</wp:posOffset>
                      </wp:positionH>
                      <wp:positionV relativeFrom="paragraph">
                        <wp:posOffset>13335</wp:posOffset>
                      </wp:positionV>
                      <wp:extent cx="152400" cy="132080"/>
                      <wp:effectExtent l="1905" t="1905" r="2540" b="2540"/>
                      <wp:wrapNone/>
                      <wp:docPr id="3" name="Рамка 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5" behindDoc="0" locked="0" layoutInCell="1" allowOverlap="1" wp14:anchorId="5C87D21B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19685</wp:posOffset>
                      </wp:positionV>
                      <wp:extent cx="152400" cy="132080"/>
                      <wp:effectExtent l="1905" t="1905" r="2540" b="2540"/>
                      <wp:wrapNone/>
                      <wp:docPr id="4" name="Рамка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rPr>
                <w:rFonts w:eastAsia="Calibri"/>
                <w:kern w:val="0"/>
                <w:sz w:val="24"/>
                <w:lang w:val="ru-RU" w:eastAsia="en-US" w:bidi="ar-SA"/>
              </w:rPr>
              <w:t xml:space="preserve">           </w:t>
            </w: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ПТО      Диагностика        Техническое освидетельствование            Ремонт</w:t>
            </w:r>
          </w:p>
        </w:tc>
      </w:tr>
      <w:tr>
        <w:trPr>
          <w:trHeight w:val="266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lang w:eastAsia="ru-RU"/>
              </w:rPr>
            </w:pPr>
            <w:r>
              <w:rPr>
                <w:sz w:val="24"/>
                <w:lang w:eastAsia="ru-RU"/>
              </w:rPr>
            </w:r>
          </w:p>
        </w:tc>
      </w:tr>
      <w:tr>
        <w:trPr>
          <w:trHeight w:val="266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lang w:eastAsia="ru-RU"/>
              </w:rPr>
            </w:pPr>
            <w:r>
              <mc:AlternateContent>
                <mc:Choice Requires="wps">
                  <w:drawing>
                    <wp:anchor distT="1905" distB="2540" distL="1905" distR="2540" simplePos="0" relativeHeight="6" behindDoc="0" locked="0" layoutInCell="1" allowOverlap="1" wp14:anchorId="0625A53A">
                      <wp:simplePos x="0" y="0"/>
                      <wp:positionH relativeFrom="column">
                        <wp:posOffset>2663825</wp:posOffset>
                      </wp:positionH>
                      <wp:positionV relativeFrom="paragraph">
                        <wp:posOffset>22225</wp:posOffset>
                      </wp:positionV>
                      <wp:extent cx="152400" cy="132080"/>
                      <wp:effectExtent l="1905" t="1905" r="2540" b="2540"/>
                      <wp:wrapNone/>
                      <wp:docPr id="5" name="Рамка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7" behindDoc="0" locked="0" layoutInCell="1" allowOverlap="1" wp14:anchorId="0B257159">
                      <wp:simplePos x="0" y="0"/>
                      <wp:positionH relativeFrom="column">
                        <wp:posOffset>3667760</wp:posOffset>
                      </wp:positionH>
                      <wp:positionV relativeFrom="paragraph">
                        <wp:posOffset>5080</wp:posOffset>
                      </wp:positionV>
                      <wp:extent cx="152400" cy="132080"/>
                      <wp:effectExtent l="1905" t="1905" r="2540" b="2540"/>
                      <wp:wrapNone/>
                      <wp:docPr id="6" name="Рамка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8" behindDoc="0" locked="0" layoutInCell="1" allowOverlap="1" wp14:anchorId="0D5F2032">
                      <wp:simplePos x="0" y="0"/>
                      <wp:positionH relativeFrom="column">
                        <wp:posOffset>4975860</wp:posOffset>
                      </wp:positionH>
                      <wp:positionV relativeFrom="paragraph">
                        <wp:posOffset>24130</wp:posOffset>
                      </wp:positionV>
                      <wp:extent cx="152400" cy="132080"/>
                      <wp:effectExtent l="1905" t="1905" r="2540" b="2540"/>
                      <wp:wrapNone/>
                      <wp:docPr id="7" name="Рамка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rPr>
                <w:rFonts w:eastAsia="Calibri"/>
                <w:kern w:val="0"/>
                <w:sz w:val="24"/>
                <w:lang w:val="ru-RU" w:eastAsia="ru-RU" w:bidi="ar-SA"/>
              </w:rPr>
              <w:t>На момент начала работ оборудование:         Исправно           Неисправно               Частично работоспособно</w:t>
            </w:r>
          </w:p>
        </w:tc>
      </w:tr>
      <w:tr>
        <w:trPr>
          <w:trHeight w:val="266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  <w:lang w:eastAsia="ru-RU"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ru-RU" w:bidi="ar-SA"/>
              </w:rPr>
              <w:t>Оборудование:</w:t>
            </w:r>
          </w:p>
        </w:tc>
      </w:tr>
      <w:tr>
        <w:trPr>
          <w:trHeight w:val="295" w:hRule="atLeast"/>
        </w:trPr>
        <w:tc>
          <w:tcPr>
            <w:tcW w:w="3689" w:type="dxa"/>
            <w:gridSpan w:val="2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jc w:val="center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Наименование</w:t>
            </w:r>
          </w:p>
        </w:tc>
        <w:tc>
          <w:tcPr>
            <w:tcW w:w="1838" w:type="dxa"/>
            <w:gridSpan w:val="3"/>
            <w:tcBorders>
              <w:top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</w:rPr>
            </w:pPr>
            <w:bookmarkStart w:id="0" w:name="OLE_LINK5"/>
            <w:bookmarkStart w:id="1" w:name="OLE_LINK6"/>
            <w:bookmarkStart w:id="2" w:name="OLE_LINK7"/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Модель</w:t>
            </w:r>
            <w:bookmarkEnd w:id="0"/>
            <w:bookmarkEnd w:id="1"/>
            <w:bookmarkEnd w:id="2"/>
          </w:p>
        </w:tc>
        <w:tc>
          <w:tcPr>
            <w:tcW w:w="1139" w:type="dxa"/>
            <w:gridSpan w:val="2"/>
            <w:tcBorders>
              <w:top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Год выпуска</w:t>
            </w:r>
          </w:p>
        </w:tc>
        <w:tc>
          <w:tcPr>
            <w:tcW w:w="1026" w:type="dxa"/>
            <w:tcBorders>
              <w:top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27"/>
              <w:jc w:val="center"/>
              <w:rPr>
                <w:b/>
                <w:lang w:val="en-US"/>
              </w:rPr>
            </w:pPr>
            <w:r>
              <w:rPr>
                <w:rFonts w:eastAsia="Calibri"/>
                <w:b/>
                <w:kern w:val="0"/>
                <w:sz w:val="24"/>
                <w:lang w:val="en-US" w:eastAsia="en-US" w:bidi="ar-SA"/>
              </w:rPr>
              <w:t>ID</w:t>
            </w:r>
          </w:p>
        </w:tc>
        <w:tc>
          <w:tcPr>
            <w:tcW w:w="1667" w:type="dxa"/>
            <w:gridSpan w:val="3"/>
            <w:tcBorders>
              <w:top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1"/>
              <w:jc w:val="center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Серийный номер</w:t>
            </w:r>
          </w:p>
        </w:tc>
        <w:tc>
          <w:tcPr>
            <w:tcW w:w="1842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Инвентарный номер</w:t>
            </w:r>
          </w:p>
        </w:tc>
      </w:tr>
      <w:tr>
        <w:trPr>
          <w:trHeight w:val="236" w:hRule="atLeast"/>
        </w:trPr>
        <w:tc>
          <w:tcPr>
            <w:tcW w:w="368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83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13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667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251" w:hRule="atLeast"/>
        </w:trPr>
        <w:tc>
          <w:tcPr>
            <w:tcW w:w="368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83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13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0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667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  <w:bookmarkStart w:id="3" w:name="_Hlk421566417"/>
            <w:bookmarkEnd w:id="3"/>
          </w:p>
        </w:tc>
      </w:tr>
      <w:tr>
        <w:trPr>
          <w:trHeight w:val="177" w:hRule="atLeast"/>
        </w:trPr>
        <w:tc>
          <w:tcPr>
            <w:tcW w:w="11201" w:type="dxa"/>
            <w:gridSpan w:val="12"/>
            <w:tcBorders>
              <w:left w:val="nil"/>
              <w:bottom w:val="single" w:sz="8" w:space="0" w:color="000000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b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Описание проблемы</w:t>
            </w:r>
            <w:r>
              <w:rPr>
                <w:rFonts w:eastAsia="Calibri"/>
                <w:b/>
                <w:kern w:val="0"/>
                <w:sz w:val="24"/>
                <w:lang w:val="en-US" w:eastAsia="en-US" w:bidi="ar-SA"/>
              </w:rPr>
              <w:t xml:space="preserve"> / Неисправность</w:t>
            </w: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:</w:t>
            </w:r>
          </w:p>
        </w:tc>
      </w:tr>
      <w:tr>
        <w:trPr>
          <w:trHeight w:val="235" w:hRule="atLeast"/>
        </w:trPr>
        <w:tc>
          <w:tcPr>
            <w:tcW w:w="11201" w:type="dxa"/>
            <w:gridSpan w:val="12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235" w:hRule="atLeast"/>
        </w:trPr>
        <w:tc>
          <w:tcPr>
            <w:tcW w:w="11201" w:type="dxa"/>
            <w:gridSpan w:val="12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131" w:hRule="atLeast"/>
        </w:trPr>
        <w:tc>
          <w:tcPr>
            <w:tcW w:w="11201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Выполненные работы:</w:t>
            </w:r>
          </w:p>
        </w:tc>
      </w:tr>
      <w:tr>
        <w:trPr>
          <w:trHeight w:val="262" w:hRule="atLeast"/>
        </w:trPr>
        <w:tc>
          <w:tcPr>
            <w:tcW w:w="11201" w:type="dxa"/>
            <w:gridSpan w:val="12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142" w:hRule="atLeast"/>
        </w:trPr>
        <w:tc>
          <w:tcPr>
            <w:tcW w:w="11201" w:type="dxa"/>
            <w:gridSpan w:val="12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143" w:hRule="atLeast"/>
        </w:trPr>
        <w:tc>
          <w:tcPr>
            <w:tcW w:w="11201" w:type="dxa"/>
            <w:gridSpan w:val="12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301" w:hRule="atLeast"/>
        </w:trPr>
        <w:tc>
          <w:tcPr>
            <w:tcW w:w="11201" w:type="dxa"/>
            <w:gridSpan w:val="12"/>
            <w:tcBorders>
              <w:top w:val="single" w:sz="8" w:space="0" w:color="000000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Запасные части и материалы (</w:t>
            </w: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Использованные/Требуемые</w:t>
            </w: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):</w:t>
            </w:r>
          </w:p>
        </w:tc>
      </w:tr>
      <w:tr>
        <w:trPr>
          <w:trHeight w:val="206" w:hRule="atLeast"/>
        </w:trPr>
        <w:tc>
          <w:tcPr>
            <w:tcW w:w="46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Запасная часть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ИИсп.</w:t>
            </w:r>
          </w:p>
        </w:tc>
        <w:tc>
          <w:tcPr>
            <w:tcW w:w="844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ТТреб.</w:t>
            </w:r>
          </w:p>
        </w:tc>
        <w:tc>
          <w:tcPr>
            <w:tcW w:w="1847" w:type="dxa"/>
            <w:gridSpan w:val="3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72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Каталожный номер</w:t>
            </w:r>
          </w:p>
        </w:tc>
        <w:tc>
          <w:tcPr>
            <w:tcW w:w="988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Кол-во</w:t>
            </w:r>
          </w:p>
        </w:tc>
        <w:tc>
          <w:tcPr>
            <w:tcW w:w="213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Примечание</w:t>
            </w:r>
          </w:p>
        </w:tc>
      </w:tr>
      <w:tr>
        <w:trPr>
          <w:trHeight w:val="20" w:hRule="atLeast"/>
        </w:trPr>
        <w:tc>
          <w:tcPr>
            <w:tcW w:w="4683" w:type="dxa"/>
            <w:gridSpan w:val="3"/>
            <w:tcBorders>
              <w:top w:val="single" w:sz="8" w:space="0" w:color="000000"/>
              <w:left w:val="single" w:sz="8" w:space="0" w:color="000000"/>
              <w:bottom w:val="dotted" w:sz="4" w:space="0" w:color="000000"/>
            </w:tcBorders>
            <w:vAlign w:val="bottom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firstLine="104" w:left="-102" w:right="-109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8" w:space="0" w:color="000000"/>
              <w:bottom w:val="dotted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04" w:left="-102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844" w:type="dxa"/>
            <w:gridSpan w:val="2"/>
            <w:tcBorders>
              <w:top w:val="single" w:sz="8" w:space="0" w:color="000000"/>
              <w:bottom w:val="dotted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04" w:left="-102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847" w:type="dxa"/>
            <w:gridSpan w:val="3"/>
            <w:tcBorders>
              <w:top w:val="single" w:sz="8" w:space="0" w:color="000000"/>
              <w:bottom w:val="dotted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04" w:left="-102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988" w:type="dxa"/>
            <w:tcBorders>
              <w:top w:val="single" w:sz="8" w:space="0" w:color="000000"/>
              <w:bottom w:val="dotted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145" w:left="-102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2130" w:type="dxa"/>
            <w:gridSpan w:val="2"/>
            <w:tcBorders>
              <w:top w:val="single" w:sz="8" w:space="0" w:color="000000"/>
              <w:bottom w:val="dotted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04" w:left="-102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20" w:hRule="atLeast"/>
        </w:trPr>
        <w:tc>
          <w:tcPr>
            <w:tcW w:w="4683" w:type="dxa"/>
            <w:gridSpan w:val="3"/>
            <w:tcBorders>
              <w:top w:val="dotted" w:sz="4" w:space="0" w:color="000000"/>
              <w:left w:val="single" w:sz="8" w:space="0" w:color="000000"/>
              <w:bottom w:val="dotted" w:sz="4" w:space="0" w:color="000000"/>
            </w:tcBorders>
            <w:vAlign w:val="bottom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firstLine="104" w:left="-102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04" w:left="-102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844" w:type="dxa"/>
            <w:gridSpan w:val="2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04" w:left="-102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1847" w:type="dxa"/>
            <w:gridSpan w:val="3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04" w:left="-102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988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04" w:left="-102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  <w:tc>
          <w:tcPr>
            <w:tcW w:w="2130" w:type="dxa"/>
            <w:gridSpan w:val="2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104" w:left="-102"/>
              <w:jc w:val="center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283" w:hRule="atLeast"/>
        </w:trPr>
        <w:tc>
          <w:tcPr>
            <w:tcW w:w="11201" w:type="dxa"/>
            <w:gridSpan w:val="1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Заключение</w:t>
            </w:r>
            <w:r>
              <w:rPr>
                <w:rStyle w:val="FootnoteReference"/>
                <w:rFonts w:eastAsia="Calibri"/>
                <w:b/>
                <w:kern w:val="0"/>
                <w:sz w:val="24"/>
                <w:lang w:val="ru-RU" w:eastAsia="en-US" w:bidi="ar-SA"/>
              </w:rPr>
              <w:footnoteReference w:id="2"/>
            </w: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:</w:t>
            </w:r>
          </w:p>
        </w:tc>
      </w:tr>
      <w:tr>
        <w:trPr>
          <w:trHeight w:val="301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lang w:eastAsia="ru-RU"/>
              </w:rPr>
            </w:pPr>
            <w:r>
              <mc:AlternateContent>
                <mc:Choice Requires="wps">
                  <w:drawing>
                    <wp:anchor distT="1905" distB="2540" distL="1905" distR="2540" simplePos="0" relativeHeight="17" behindDoc="0" locked="0" layoutInCell="1" allowOverlap="1" wp14:anchorId="0B32F94A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24130</wp:posOffset>
                      </wp:positionV>
                      <wp:extent cx="152400" cy="132080"/>
                      <wp:effectExtent l="1905" t="1905" r="2540" b="2540"/>
                      <wp:wrapNone/>
                      <wp:docPr id="8" name="Рамка 5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18" behindDoc="0" locked="0" layoutInCell="1" allowOverlap="1" wp14:anchorId="3D2D9631">
                      <wp:simplePos x="0" y="0"/>
                      <wp:positionH relativeFrom="column">
                        <wp:posOffset>2172335</wp:posOffset>
                      </wp:positionH>
                      <wp:positionV relativeFrom="paragraph">
                        <wp:posOffset>23495</wp:posOffset>
                      </wp:positionV>
                      <wp:extent cx="152400" cy="132080"/>
                      <wp:effectExtent l="1905" t="1905" r="2540" b="2540"/>
                      <wp:wrapNone/>
                      <wp:docPr id="9" name="Рамка 5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19" behindDoc="0" locked="0" layoutInCell="1" allowOverlap="1" wp14:anchorId="58104E2D">
                      <wp:simplePos x="0" y="0"/>
                      <wp:positionH relativeFrom="column">
                        <wp:posOffset>3340100</wp:posOffset>
                      </wp:positionH>
                      <wp:positionV relativeFrom="paragraph">
                        <wp:posOffset>2540</wp:posOffset>
                      </wp:positionV>
                      <wp:extent cx="152400" cy="132080"/>
                      <wp:effectExtent l="1905" t="1905" r="2540" b="2540"/>
                      <wp:wrapNone/>
                      <wp:docPr id="10" name="Рамка 5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rPr>
                <w:rFonts w:eastAsia="Calibri"/>
                <w:kern w:val="0"/>
                <w:sz w:val="24"/>
                <w:lang w:val="ru-RU" w:eastAsia="ru-RU" w:bidi="ar-SA"/>
              </w:rPr>
              <w:t xml:space="preserve">       </w:t>
            </w: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Оборудование исправно</w:t>
            </w:r>
            <w:r>
              <w:rPr>
                <w:rFonts w:eastAsia="Calibri"/>
                <w:kern w:val="0"/>
                <w:sz w:val="24"/>
                <w:lang w:val="ru-RU" w:eastAsia="ru-RU" w:bidi="ar-SA"/>
              </w:rPr>
              <w:t xml:space="preserve"> (         Полностью,              Частично)</w:t>
            </w:r>
          </w:p>
        </w:tc>
      </w:tr>
      <w:tr>
        <w:trPr>
          <w:trHeight w:val="301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lang w:eastAsia="ru-RU"/>
              </w:rPr>
            </w:pPr>
            <w:r>
              <mc:AlternateContent>
                <mc:Choice Requires="wps">
                  <w:drawing>
                    <wp:anchor distT="1905" distB="2540" distL="1905" distR="2540" simplePos="0" relativeHeight="14" behindDoc="0" locked="0" layoutInCell="1" allowOverlap="1" wp14:anchorId="21A7CA7A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24130</wp:posOffset>
                      </wp:positionV>
                      <wp:extent cx="152400" cy="132080"/>
                      <wp:effectExtent l="1905" t="1905" r="2540" b="2540"/>
                      <wp:wrapNone/>
                      <wp:docPr id="11" name="Рамка 4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15" behindDoc="0" locked="0" layoutInCell="1" allowOverlap="1" wp14:anchorId="531BE895">
                      <wp:simplePos x="0" y="0"/>
                      <wp:positionH relativeFrom="column">
                        <wp:posOffset>1692910</wp:posOffset>
                      </wp:positionH>
                      <wp:positionV relativeFrom="paragraph">
                        <wp:posOffset>22225</wp:posOffset>
                      </wp:positionV>
                      <wp:extent cx="152400" cy="132080"/>
                      <wp:effectExtent l="1905" t="1905" r="2540" b="2540"/>
                      <wp:wrapNone/>
                      <wp:docPr id="12" name="Рамка 4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16" behindDoc="0" locked="0" layoutInCell="1" allowOverlap="1" wp14:anchorId="2DB5482F">
                      <wp:simplePos x="0" y="0"/>
                      <wp:positionH relativeFrom="column">
                        <wp:posOffset>4061460</wp:posOffset>
                      </wp:positionH>
                      <wp:positionV relativeFrom="paragraph">
                        <wp:posOffset>27305</wp:posOffset>
                      </wp:positionV>
                      <wp:extent cx="152400" cy="132080"/>
                      <wp:effectExtent l="1905" t="1905" r="2540" b="2540"/>
                      <wp:wrapNone/>
                      <wp:docPr id="13" name="Рамка 4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rPr>
                <w:rFonts w:eastAsia="Calibri"/>
                <w:kern w:val="0"/>
                <w:sz w:val="24"/>
                <w:lang w:val="ru-RU" w:eastAsia="ru-RU" w:bidi="ar-SA"/>
              </w:rPr>
              <w:t xml:space="preserve">       </w:t>
            </w: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 xml:space="preserve">Требуется ремонт </w:t>
            </w:r>
            <w:r>
              <w:rPr>
                <w:rFonts w:eastAsia="Calibri"/>
                <w:kern w:val="0"/>
                <w:sz w:val="24"/>
                <w:lang w:val="ru-RU" w:eastAsia="ru-RU" w:bidi="ar-SA"/>
              </w:rPr>
              <w:t xml:space="preserve">(        </w:t>
            </w:r>
            <w:r>
              <w:rPr>
                <w:rFonts w:eastAsia="Calibri"/>
                <w:kern w:val="0"/>
                <w:sz w:val="24"/>
                <w:lang w:val="ru-RU" w:eastAsia="en-US" w:bidi="ar-SA"/>
              </w:rPr>
              <w:t>С заменой запасных частей,                 Без замены запасных частей</w:t>
            </w:r>
            <w:r>
              <w:rPr>
                <w:rFonts w:eastAsia="Calibri"/>
                <w:kern w:val="0"/>
                <w:sz w:val="24"/>
                <w:lang w:val="ru-RU" w:eastAsia="ru-RU" w:bidi="ar-SA"/>
              </w:rPr>
              <w:t>)</w:t>
            </w:r>
          </w:p>
        </w:tc>
      </w:tr>
      <w:tr>
        <w:trPr>
          <w:trHeight w:val="301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lang w:eastAsia="ru-RU"/>
              </w:rPr>
            </w:pPr>
            <w:r>
              <mc:AlternateContent>
                <mc:Choice Requires="wps">
                  <w:drawing>
                    <wp:anchor distT="1905" distB="2540" distL="1905" distR="2540" simplePos="0" relativeHeight="12" behindDoc="0" locked="0" layoutInCell="1" allowOverlap="1" wp14:anchorId="6121978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8890</wp:posOffset>
                      </wp:positionV>
                      <wp:extent cx="152400" cy="132080"/>
                      <wp:effectExtent l="1905" t="1905" r="2540" b="2540"/>
                      <wp:wrapNone/>
                      <wp:docPr id="14" name="Рамка 3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13" behindDoc="0" locked="0" layoutInCell="1" allowOverlap="1" wp14:anchorId="13B613F4">
                      <wp:simplePos x="0" y="0"/>
                      <wp:positionH relativeFrom="column">
                        <wp:posOffset>2265045</wp:posOffset>
                      </wp:positionH>
                      <wp:positionV relativeFrom="paragraph">
                        <wp:posOffset>7620</wp:posOffset>
                      </wp:positionV>
                      <wp:extent cx="152400" cy="132080"/>
                      <wp:effectExtent l="1905" t="1905" r="2540" b="2540"/>
                      <wp:wrapNone/>
                      <wp:docPr id="15" name="Рамка 4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rPr>
                <w:rFonts w:eastAsia="Calibri"/>
                <w:kern w:val="0"/>
                <w:sz w:val="24"/>
                <w:lang w:val="ru-RU" w:eastAsia="ru-RU" w:bidi="ar-SA"/>
              </w:rPr>
              <w:t xml:space="preserve">       </w:t>
            </w:r>
            <w:r>
              <w:rPr>
                <w:rFonts w:eastAsia="Calibri"/>
                <w:b/>
                <w:kern w:val="0"/>
                <w:sz w:val="24"/>
                <w:lang w:val="ru-RU" w:eastAsia="ru-RU" w:bidi="ar-SA"/>
              </w:rPr>
              <w:t>Оборудование неисправно (</w:t>
            </w:r>
            <w:r>
              <w:rPr>
                <w:rFonts w:eastAsia="Calibri"/>
                <w:kern w:val="0"/>
                <w:sz w:val="24"/>
                <w:lang w:val="ru-RU" w:eastAsia="ru-RU" w:bidi="ar-SA"/>
              </w:rPr>
              <w:t xml:space="preserve">        </w:t>
            </w:r>
            <w:r>
              <w:rPr>
                <w:rFonts w:eastAsia="Calibri"/>
                <w:kern w:val="0"/>
                <w:sz w:val="24"/>
                <w:lang w:val="ru-RU" w:eastAsia="en-US" w:bidi="ar-SA"/>
              </w:rPr>
              <w:t>Рекомендовано к списанию</w:t>
            </w:r>
            <w:r>
              <w:rPr>
                <w:rFonts w:eastAsia="Calibri"/>
                <w:b/>
                <w:kern w:val="0"/>
                <w:sz w:val="24"/>
                <w:lang w:val="ru-RU" w:eastAsia="ru-RU" w:bidi="ar-SA"/>
              </w:rPr>
              <w:t>)</w:t>
            </w:r>
          </w:p>
        </w:tc>
      </w:tr>
      <w:tr>
        <w:trPr>
          <w:trHeight w:val="301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lang w:eastAsia="ru-RU"/>
              </w:rPr>
            </w:pPr>
            <w:r>
              <w:rPr>
                <w:sz w:val="24"/>
                <w:lang w:eastAsia="ru-RU"/>
              </w:rPr>
            </w:r>
          </w:p>
        </w:tc>
      </w:tr>
      <w:tr>
        <w:trPr>
          <w:trHeight w:val="301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b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Рекомендации:</w:t>
            </w:r>
          </w:p>
        </w:tc>
      </w:tr>
      <w:tr>
        <w:trPr>
          <w:trHeight w:val="175" w:hRule="atLeast"/>
        </w:trPr>
        <w:tc>
          <w:tcPr>
            <w:tcW w:w="11201" w:type="dxa"/>
            <w:gridSpan w:val="12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175" w:hRule="atLeast"/>
        </w:trPr>
        <w:tc>
          <w:tcPr>
            <w:tcW w:w="11201" w:type="dxa"/>
            <w:gridSpan w:val="12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175" w:hRule="atLeast"/>
        </w:trPr>
        <w:tc>
          <w:tcPr>
            <w:tcW w:w="11201" w:type="dxa"/>
            <w:gridSpan w:val="12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324" w:hRule="atLeast"/>
        </w:trPr>
        <w:tc>
          <w:tcPr>
            <w:tcW w:w="11201" w:type="dxa"/>
            <w:gridSpan w:val="12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mc:AlternateContent>
                <mc:Choice Requires="wps">
                  <w:drawing>
                    <wp:anchor distT="1905" distB="2540" distL="1905" distR="2540" simplePos="0" relativeHeight="9" behindDoc="0" locked="0" layoutInCell="1" allowOverlap="1" wp14:anchorId="77E6845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8890</wp:posOffset>
                      </wp:positionV>
                      <wp:extent cx="152400" cy="132080"/>
                      <wp:effectExtent l="1905" t="1905" r="2540" b="2540"/>
                      <wp:wrapNone/>
                      <wp:docPr id="16" name="Рамка 3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10" behindDoc="0" locked="0" layoutInCell="1" allowOverlap="1" wp14:anchorId="06D1C8E8">
                      <wp:simplePos x="0" y="0"/>
                      <wp:positionH relativeFrom="column">
                        <wp:posOffset>4302760</wp:posOffset>
                      </wp:positionH>
                      <wp:positionV relativeFrom="paragraph">
                        <wp:posOffset>8255</wp:posOffset>
                      </wp:positionV>
                      <wp:extent cx="152400" cy="132080"/>
                      <wp:effectExtent l="1905" t="1905" r="2540" b="2540"/>
                      <wp:wrapNone/>
                      <wp:docPr id="17" name="Рамка 3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  <mc:AlternateContent>
                <mc:Choice Requires="wps">
                  <w:drawing>
                    <wp:anchor distT="1905" distB="2540" distL="1905" distR="2540" simplePos="0" relativeHeight="11" behindDoc="0" locked="0" layoutInCell="1" allowOverlap="1" wp14:anchorId="4FED9CA3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153670</wp:posOffset>
                      </wp:positionV>
                      <wp:extent cx="152400" cy="132080"/>
                      <wp:effectExtent l="1905" t="1905" r="2540" b="2540"/>
                      <wp:wrapNone/>
                      <wp:docPr id="18" name="Рамка 4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280" cy="132120"/>
                              </a:xfrm>
                              <a:prstGeom prst="frame">
                                <a:avLst>
                                  <a:gd name="adj1" fmla="val 12500"/>
                                </a:avLst>
                              </a:prstGeom>
                              <a:solidFill>
                                <a:srgbClr val="5B9BD5"/>
                              </a:solidFill>
                              <a:ln w="3175">
                                <a:solidFill>
                                  <a:srgbClr val="43729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rPr>
                <w:rFonts w:eastAsia="Calibri"/>
                <w:kern w:val="0"/>
                <w:sz w:val="24"/>
                <w:lang w:val="ru-RU" w:eastAsia="en-US" w:bidi="ar-SA"/>
              </w:rPr>
              <w:t xml:space="preserve">        </w:t>
            </w: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Требуется проведение технического обслуживания                      Требуется ППР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 xml:space="preserve">        </w:t>
            </w: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Требуется замена комплектующих (расходных материалов)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b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b/>
              </w:rPr>
            </w:pPr>
            <w:r>
              <w:rPr>
                <w:rFonts w:eastAsia="Calibri"/>
                <w:b/>
                <w:kern w:val="0"/>
                <w:sz w:val="24"/>
                <w:lang w:val="ru-RU" w:eastAsia="en-US" w:bidi="ar-SA"/>
              </w:rPr>
              <w:t>Комментарии:</w:t>
            </w:r>
          </w:p>
        </w:tc>
      </w:tr>
      <w:tr>
        <w:trPr>
          <w:trHeight w:val="50" w:hRule="atLeast"/>
        </w:trPr>
        <w:tc>
          <w:tcPr>
            <w:tcW w:w="11201" w:type="dxa"/>
            <w:gridSpan w:val="12"/>
            <w:tcBorders>
              <w:top w:val="single" w:sz="8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rPr>
                <w:lang w:eastAsia="ru-RU"/>
              </w:rPr>
            </w:pPr>
            <w:r>
              <w:rPr>
                <w:sz w:val="24"/>
                <w:lang w:eastAsia="ru-RU"/>
              </w:rPr>
            </w:r>
          </w:p>
        </w:tc>
      </w:tr>
      <w:tr>
        <w:trPr>
          <w:trHeight w:val="50" w:hRule="atLeast"/>
        </w:trPr>
        <w:tc>
          <w:tcPr>
            <w:tcW w:w="11201" w:type="dxa"/>
            <w:gridSpan w:val="12"/>
            <w:tcBorders>
              <w:top w:val="single" w:sz="8" w:space="0" w:color="000000"/>
              <w:left w:val="single" w:sz="6" w:space="0" w:color="000000"/>
              <w:bottom w:val="dotted" w:sz="4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rPr>
                <w:lang w:eastAsia="ru-RU"/>
              </w:rPr>
            </w:pPr>
            <w:r>
              <w:rPr>
                <w:sz w:val="24"/>
                <w:lang w:eastAsia="ru-RU"/>
              </w:rPr>
            </w:r>
          </w:p>
        </w:tc>
      </w:tr>
      <w:tr>
        <w:trPr>
          <w:trHeight w:val="67" w:hRule="atLeast"/>
        </w:trPr>
        <w:tc>
          <w:tcPr>
            <w:tcW w:w="11201" w:type="dxa"/>
            <w:gridSpan w:val="12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104" w:right="-10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 xml:space="preserve">   </w:t>
            </w: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Представитель Мед. Учреждения                                                                Представитель Исполнителя</w:t>
            </w:r>
          </w:p>
        </w:tc>
      </w:tr>
      <w:tr>
        <w:trPr>
          <w:trHeight w:val="67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</w:r>
          </w:p>
        </w:tc>
      </w:tr>
      <w:tr>
        <w:trPr>
          <w:trHeight w:val="67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________________/_________________                                                              ______________/</w:t>
            </w:r>
            <w:r>
              <w:rPr>
                <w:rFonts w:eastAsia="Calibri"/>
                <w:kern w:val="0"/>
                <w:sz w:val="24"/>
                <w:u w:val="single"/>
                <w:lang w:val="ru-RU" w:eastAsia="en-US" w:bidi="ar-SA"/>
              </w:rPr>
              <w:t xml:space="preserve"> </w:t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</w:r>
            <w:r>
              <w:rPr>
                <w:rFonts w:eastAsia="Calibri"/>
                <w:kern w:val="0"/>
                <w:sz w:val="24"/>
                <w:lang w:val="ru-RU" w:eastAsia="en-US" w:bidi="ar-SA"/>
              </w:rPr>
              <w:t>_________________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8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М.П.                                                                                                              М.П.</w:t>
            </w:r>
          </w:p>
        </w:tc>
      </w:tr>
      <w:tr>
        <w:trPr>
          <w:trHeight w:val="354" w:hRule="atLeast"/>
        </w:trPr>
        <w:tc>
          <w:tcPr>
            <w:tcW w:w="1120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104"/>
              <w:jc w:val="right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/>
                <w:kern w:val="0"/>
                <w:sz w:val="24"/>
                <w:lang w:val="ru-RU" w:eastAsia="en-US" w:bidi="ar-SA"/>
              </w:rPr>
              <w:t>Дата: ______ /_______/202____ г.</w:t>
            </w:r>
          </w:p>
        </w:tc>
      </w:tr>
    </w:tbl>
    <w:p>
      <w:pPr>
        <w:pStyle w:val="Normal"/>
        <w:tabs>
          <w:tab w:val="clear" w:pos="708"/>
          <w:tab w:val="left" w:pos="4138" w:leader="none"/>
          <w:tab w:val="left" w:pos="6533" w:leader="underscore"/>
        </w:tabs>
        <w:ind w:hanging="0" w:left="206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4138" w:leader="none"/>
          <w:tab w:val="left" w:pos="6533" w:leader="underscore"/>
        </w:tabs>
        <w:ind w:hanging="0" w:left="206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59" w:before="0" w:after="160"/>
        <w:ind w:hanging="0"/>
        <w:jc w:val="left"/>
        <w:rPr>
          <w:b/>
        </w:rPr>
      </w:pPr>
      <w:r>
        <w:rPr>
          <w:b/>
        </w:rPr>
      </w:r>
    </w:p>
    <w:sectPr>
      <w:footnotePr>
        <w:numFmt w:val="decimal"/>
      </w:footnotePr>
      <w:type w:val="nextPage"/>
      <w:pgSz w:w="11906" w:h="16838"/>
      <w:pgMar w:left="624" w:right="851" w:gutter="0" w:header="0" w:top="62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imesNewRomanPSMT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ind w:firstLine="142" w:left="-993"/>
        <w:rPr/>
      </w:pPr>
      <w:r>
        <w:rPr>
          <w:rStyle w:val="Style20"/>
        </w:rPr>
        <w:footnoteRef/>
      </w:r>
      <w:r>
        <w:rPr/>
        <w:t xml:space="preserve"> </w:t>
      </w:r>
      <w:r>
        <w:rPr>
          <w:sz w:val="12"/>
          <w:szCs w:val="12"/>
        </w:rPr>
        <w:t>Нас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spacing w:val="0"/>
        <w:w w:val="100"/>
        <w:sz w:val="23"/>
        <w:szCs w:val="23"/>
        <w:u w:val="none"/>
        <w:lang w:val="ru-RU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c15a8"/>
    <w:pPr>
      <w:widowControl/>
      <w:suppressAutoHyphens w:val="true"/>
      <w:bidi w:val="0"/>
      <w:spacing w:lineRule="auto" w:line="240" w:before="0" w:after="0"/>
      <w:ind w:firstLine="709"/>
      <w:jc w:val="both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примечания Знак"/>
    <w:basedOn w:val="DefaultParagraphFont"/>
    <w:uiPriority w:val="99"/>
    <w:qFormat/>
    <w:rsid w:val="003c15a8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qFormat/>
    <w:rsid w:val="003c15a8"/>
    <w:rPr>
      <w:sz w:val="16"/>
      <w:szCs w:val="16"/>
    </w:rPr>
  </w:style>
  <w:style w:type="character" w:styleId="fontstyle01" w:customStyle="1">
    <w:name w:val="fontstyle01"/>
    <w:qFormat/>
    <w:rsid w:val="003c15a8"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3c15a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8f04eb"/>
    <w:rPr>
      <w:color w:val="808080"/>
    </w:rPr>
  </w:style>
  <w:style w:type="character" w:styleId="Style16" w:customStyle="1">
    <w:name w:val="Тема примечания Знак"/>
    <w:basedOn w:val="Style14"/>
    <w:link w:val="annotationsubject"/>
    <w:uiPriority w:val="99"/>
    <w:semiHidden/>
    <w:qFormat/>
    <w:rsid w:val="00382af8"/>
    <w:rPr>
      <w:rFonts w:ascii="Times New Roman" w:hAnsi="Times New Roman" w:cs="Times New Roman"/>
      <w:b/>
      <w:bCs/>
      <w:sz w:val="20"/>
      <w:szCs w:val="20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a42bc5"/>
    <w:rPr>
      <w:rFonts w:ascii="Times New Roman" w:hAnsi="Times New Roman" w:cs="Times New Roman"/>
      <w:sz w:val="24"/>
      <w:szCs w:val="24"/>
    </w:rPr>
  </w:style>
  <w:style w:type="character" w:styleId="Style18" w:customStyle="1">
    <w:name w:val="Нижний колонтитул Знак"/>
    <w:basedOn w:val="DefaultParagraphFont"/>
    <w:uiPriority w:val="99"/>
    <w:qFormat/>
    <w:rsid w:val="00a42bc5"/>
    <w:rPr>
      <w:rFonts w:ascii="Times New Roman" w:hAnsi="Times New Roman" w:cs="Times New Roman"/>
      <w:sz w:val="24"/>
      <w:szCs w:val="24"/>
    </w:rPr>
  </w:style>
  <w:style w:type="character" w:styleId="msoinsmailrucssattributepostfix" w:customStyle="1">
    <w:name w:val="msoins_mailru_css_attribute_postfix"/>
    <w:basedOn w:val="DefaultParagraphFont"/>
    <w:qFormat/>
    <w:rsid w:val="00170538"/>
    <w:rPr/>
  </w:style>
  <w:style w:type="character" w:styleId="Hyperlink">
    <w:name w:val="Hyperlink"/>
    <w:basedOn w:val="DefaultParagraphFont"/>
    <w:uiPriority w:val="99"/>
    <w:unhideWhenUsed/>
    <w:rsid w:val="008a27af"/>
    <w:rPr>
      <w:color w:val="0000FF"/>
      <w:u w:val="single"/>
    </w:rPr>
  </w:style>
  <w:style w:type="character" w:styleId="Style19" w:customStyle="1">
    <w:name w:val="Текст сноски Знак"/>
    <w:basedOn w:val="DefaultParagraphFont"/>
    <w:uiPriority w:val="99"/>
    <w:semiHidden/>
    <w:qFormat/>
    <w:rsid w:val="0080445b"/>
    <w:rPr>
      <w:sz w:val="20"/>
      <w:szCs w:val="20"/>
    </w:rPr>
  </w:style>
  <w:style w:type="character" w:styleId="user">
    <w:name w:val="Символ сноски (user)"/>
    <w:basedOn w:val="DefaultParagraphFont"/>
    <w:uiPriority w:val="99"/>
    <w:semiHidden/>
    <w:unhideWhenUsed/>
    <w:qFormat/>
    <w:rsid w:val="0080445b"/>
    <w:rPr>
      <w:vertAlign w:val="superscript"/>
    </w:rPr>
  </w:style>
  <w:style w:type="character" w:styleId="Style20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1">
    <w:name w:val="Символ концевой сноски (user)"/>
    <w:qFormat/>
    <w:rPr/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CommentText">
    <w:name w:val="annotation text"/>
    <w:basedOn w:val="Normal"/>
    <w:link w:val="Style14"/>
    <w:uiPriority w:val="99"/>
    <w:unhideWhenUsed/>
    <w:rsid w:val="003c15a8"/>
    <w:pPr/>
    <w:rPr>
      <w:rFonts w:cs="" w:cstheme="min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3c15a8"/>
    <w:pPr>
      <w:spacing w:lineRule="auto" w:line="276" w:before="0" w:after="200"/>
      <w:ind w:hanging="0" w:left="720"/>
      <w:contextualSpacing/>
      <w:jc w:val="left"/>
    </w:pPr>
    <w:rPr>
      <w:rFonts w:ascii="Calibri" w:hAnsi="Calibri" w:eastAsia="Calibri"/>
      <w:sz w:val="22"/>
      <w:szCs w:val="22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3c15a8"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382af8"/>
    <w:pPr/>
    <w:rPr>
      <w:rFonts w:cs="Times New Roman"/>
      <w:b/>
      <w:bCs/>
    </w:rPr>
  </w:style>
  <w:style w:type="paragraph" w:styleId="user4">
    <w:name w:val="Колонтитулы (user)"/>
    <w:basedOn w:val="Normal"/>
    <w:qFormat/>
    <w:pPr/>
    <w:rPr/>
  </w:style>
  <w:style w:type="paragraph" w:styleId="Style24">
    <w:name w:val="Колонтитулы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a42bc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8"/>
    <w:uiPriority w:val="99"/>
    <w:unhideWhenUsed/>
    <w:rsid w:val="00a42bc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3674c9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ru-RU" w:eastAsia="en-US" w:bidi="ar-SA"/>
    </w:rPr>
  </w:style>
  <w:style w:type="paragraph" w:styleId="Style25" w:customStyle="1">
    <w:name w:val="Пункт"/>
    <w:basedOn w:val="Normal"/>
    <w:qFormat/>
    <w:rsid w:val="00ba2151"/>
    <w:pPr>
      <w:tabs>
        <w:tab w:val="clear" w:pos="708"/>
        <w:tab w:val="left" w:pos="360" w:leader="none"/>
      </w:tabs>
      <w:ind w:hanging="0"/>
    </w:pPr>
    <w:rPr>
      <w:rFonts w:eastAsia="Times New Roman"/>
      <w:lang w:eastAsia="ru-RU"/>
    </w:rPr>
  </w:style>
  <w:style w:type="paragraph" w:styleId="ConsPlusNormal" w:customStyle="1">
    <w:name w:val="ConsPlusNormal"/>
    <w:basedOn w:val="Normal"/>
    <w:qFormat/>
    <w:rsid w:val="00961f25"/>
    <w:pPr>
      <w:ind w:hanging="0"/>
      <w:jc w:val="left"/>
    </w:pPr>
    <w:rPr>
      <w:rFonts w:ascii="Arial" w:hAnsi="Arial" w:cs="Arial"/>
      <w:sz w:val="20"/>
      <w:szCs w:val="20"/>
      <w:lang w:eastAsia="ru-RU"/>
    </w:rPr>
  </w:style>
  <w:style w:type="paragraph" w:styleId="FootnoteText">
    <w:name w:val="footnote text"/>
    <w:basedOn w:val="Normal"/>
    <w:link w:val="Style19"/>
    <w:uiPriority w:val="99"/>
    <w:semiHidden/>
    <w:unhideWhenUsed/>
    <w:rsid w:val="0080445b"/>
    <w:pPr>
      <w:ind w:hanging="0"/>
      <w:jc w:val="left"/>
    </w:pPr>
    <w:rPr>
      <w:rFonts w:ascii="Calibri" w:hAnsi="Calibri" w:cs="" w:asciiTheme="minorHAnsi" w:cstheme="minorBidi" w:hAnsiTheme="minorHAnsi"/>
      <w:sz w:val="20"/>
      <w:szCs w:val="20"/>
    </w:rPr>
  </w:style>
  <w:style w:type="paragraph" w:styleId="user5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numbering" w:styleId="user7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d22709"/>
    <w:pPr>
      <w:spacing w:after="0" w:line="240" w:lineRule="auto"/>
      <w:jc w:val="both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">
    <w:name w:val="Таблица простая 41"/>
    <w:basedOn w:val="a1"/>
    <w:uiPriority w:val="44"/>
    <w:rsid w:val="002259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konline.ru/ya2.php?text=&#1055;&#1055;&#1041;&#1054;+07-91+&#1055;&#1088;&#1072;&#1074;&#1080;&#1083;&#1072;+&#1087;&#1086;&#1078;&#1072;&#1088;&#1085;&#1086;&#1081;+&#1073;&#1077;&#1079;&#1086;&#1087;&#1072;&#1089;&#1085;&#1086;&#1089;&#1090;&#1080;+&#1076;&#1083;&#1103;+&#1091;&#1095;&#1088;&#1077;&#1078;&#1076;&#1077;&#1085;&#1080;&#1081;+&#1079;&#1076;&#1088;&#1072;&#1074;&#1086;&#1086;&#1093;&#1088;&#1072;&#1085;&#1077;&#1085;&#1080;&#1103;" TargetMode="Externa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A870D-37DF-407F-8AF0-1E58324CE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LibreOffice/26.2.6.3$Windows_X86_64 LibreOffice_project/8221e31b3ac356a1623c672912a3d2b492f7e3d1</Application>
  <AppVersion>15.0000</AppVersion>
  <Pages>6</Pages>
  <Words>985</Words>
  <Characters>7475</Characters>
  <CharactersWithSpaces>8830</CharactersWithSpaces>
  <Paragraphs>197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2026-04-09T12:16:00Z</dcterms:created>
  <dc:creator>Кульбака Виктория Витальевна</dc:creator>
  <dc:description/>
  <dc:language>ru-RU</dc:language>
  <cp:lastModifiedBy/>
  <dcterms:modified xsi:type="dcterms:W3CDTF">2026-10-13T16:43:55Z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