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false"/>
        <w:ind w:hanging="0"/>
        <w:jc w:val="center"/>
        <w:rPr>
          <w:rFonts w:eastAsia="Calibri" w:eastAsiaTheme="minorHAnsi"/>
          <w:b/>
          <w:kern w:val="2"/>
          <w:lang w:eastAsia="en-US"/>
          <w14:ligatures w14:val="standardContextual"/>
        </w:rPr>
      </w:pPr>
      <w:bookmarkStart w:id="0" w:name="_Hlk199425509"/>
      <w:r>
        <w:rPr>
          <w:rFonts w:eastAsia="Calibri" w:eastAsiaTheme="minorHAnsi"/>
          <w:b/>
          <w:kern w:val="2"/>
          <w:lang w:eastAsia="en-US"/>
          <w14:ligatures w14:val="standardContextual"/>
        </w:rPr>
        <w:t>ОПИСАНИЕ ОБЪЕКТА ЗАКУПКИ (ТЕХНИЧЕСКОЕ ЗАДАНИЕ)</w:t>
      </w:r>
    </w:p>
    <w:p>
      <w:pPr>
        <w:pStyle w:val="Normal"/>
        <w:suppressAutoHyphens w:val="false"/>
        <w:ind w:hanging="0"/>
        <w:jc w:val="center"/>
        <w:rPr>
          <w:rFonts w:eastAsia="Calibri" w:eastAsiaTheme="minorHAnsi"/>
          <w:b/>
          <w:bCs/>
          <w:kern w:val="2"/>
          <w:lang w:eastAsia="en-US"/>
          <w14:ligatures w14:val="standardContextual"/>
        </w:rPr>
      </w:pPr>
      <w:r>
        <w:rPr>
          <w:rFonts w:eastAsia="Calibri" w:eastAsiaTheme="minorHAnsi"/>
          <w:b/>
          <w:bCs/>
          <w:kern w:val="2"/>
          <w:lang w:eastAsia="en-US"/>
          <w14:ligatures w14:val="standardContextual"/>
        </w:rPr>
      </w:r>
    </w:p>
    <w:p>
      <w:pPr>
        <w:pStyle w:val="Normal"/>
        <w:keepLines/>
        <w:widowControl w:val="false"/>
        <w:rPr>
          <w:b/>
          <w:sz w:val="22"/>
          <w:szCs w:val="22"/>
        </w:rPr>
      </w:pPr>
      <w:r>
        <w:rPr>
          <w:b/>
          <w:bCs/>
          <w:sz w:val="22"/>
          <w:szCs w:val="22"/>
        </w:rPr>
        <w:t>Наименование объекта закупки</w:t>
      </w:r>
      <w:r>
        <w:rPr>
          <w:b/>
          <w:sz w:val="22"/>
          <w:szCs w:val="22"/>
        </w:rPr>
        <w:t xml:space="preserve">: </w:t>
      </w:r>
    </w:p>
    <w:p>
      <w:pPr>
        <w:pStyle w:val="Normal"/>
        <w:keepLines/>
        <w:widowControl w:val="false"/>
        <w:rPr>
          <w:sz w:val="22"/>
          <w:szCs w:val="22"/>
          <w:shd w:fill="F5F5F5" w:val="clear"/>
        </w:rPr>
      </w:pPr>
      <w:r>
        <w:rPr>
          <w:sz w:val="22"/>
          <w:szCs w:val="22"/>
          <w:shd w:fill="F5F5F5" w:val="clear"/>
        </w:rPr>
        <w:t>Поставка  датчиков потока</w:t>
      </w:r>
    </w:p>
    <w:p>
      <w:pPr>
        <w:pStyle w:val="Normal"/>
        <w:keepLines/>
        <w:widowControl w:val="false"/>
        <w:rPr>
          <w:bCs/>
          <w:sz w:val="22"/>
          <w:szCs w:val="22"/>
        </w:rPr>
      </w:pPr>
      <w:r>
        <w:rPr>
          <w:bCs/>
          <w:sz w:val="22"/>
          <w:szCs w:val="22"/>
        </w:rPr>
      </w:r>
    </w:p>
    <w:p>
      <w:pPr>
        <w:pStyle w:val="Normal"/>
        <w:keepLines/>
        <w:widowControl w:val="false"/>
        <w:rPr>
          <w:sz w:val="22"/>
          <w:szCs w:val="22"/>
        </w:rPr>
      </w:pPr>
      <w:r>
        <w:rPr>
          <w:sz w:val="22"/>
          <w:szCs w:val="22"/>
        </w:rPr>
      </w:r>
    </w:p>
    <w:p>
      <w:pPr>
        <w:pStyle w:val="Normal"/>
        <w:keepLines/>
        <w:widowControl w:val="false"/>
        <w:rPr>
          <w:sz w:val="22"/>
          <w:szCs w:val="22"/>
        </w:rPr>
      </w:pPr>
      <w:r>
        <w:rPr>
          <w:sz w:val="22"/>
          <w:szCs w:val="22"/>
        </w:rPr>
      </w:r>
    </w:p>
    <w:p>
      <w:pPr>
        <w:pStyle w:val="Normal"/>
        <w:keepLines/>
        <w:widowControl w:val="false"/>
        <w:rPr>
          <w:sz w:val="22"/>
          <w:szCs w:val="22"/>
          <w:shd w:fill="F5F5F5" w:val="clear"/>
        </w:rPr>
      </w:pPr>
      <w:r>
        <w:rPr>
          <w:b/>
          <w:sz w:val="22"/>
          <w:szCs w:val="22"/>
        </w:rPr>
        <w:t>Описание объекта закупки:</w:t>
      </w:r>
      <w:r>
        <w:rPr>
          <w:sz w:val="22"/>
          <w:szCs w:val="22"/>
        </w:rPr>
        <w:t xml:space="preserve"> </w:t>
      </w:r>
      <w:r>
        <w:rPr>
          <w:sz w:val="22"/>
          <w:szCs w:val="22"/>
          <w:shd w:fill="F5F5F5" w:val="clear"/>
        </w:rPr>
        <w:t>Поставка  датчиков потока</w:t>
      </w:r>
    </w:p>
    <w:p>
      <w:pPr>
        <w:pStyle w:val="Normal"/>
        <w:keepLines/>
        <w:widowControl w:val="false"/>
        <w:rPr>
          <w:bCs/>
          <w:sz w:val="22"/>
          <w:szCs w:val="22"/>
        </w:rPr>
      </w:pPr>
      <w:r>
        <w:rPr>
          <w:bCs/>
          <w:sz w:val="22"/>
          <w:szCs w:val="22"/>
        </w:rPr>
      </w:r>
    </w:p>
    <w:p>
      <w:pPr>
        <w:pStyle w:val="Normal"/>
        <w:keepLines/>
        <w:widowControl w:val="false"/>
        <w:rPr>
          <w:sz w:val="22"/>
          <w:szCs w:val="22"/>
        </w:rPr>
      </w:pPr>
      <w:r>
        <w:rPr>
          <w:b/>
          <w:sz w:val="22"/>
          <w:szCs w:val="22"/>
        </w:rPr>
        <w:t xml:space="preserve">Функциональные, технические, качественные, эксплуатационные характеристики объекта закупки: </w:t>
      </w:r>
    </w:p>
    <w:p>
      <w:pPr>
        <w:pStyle w:val="Normal"/>
        <w:keepLines/>
        <w:widowControl w:val="false"/>
        <w:rPr/>
      </w:pPr>
      <w:r>
        <w:rPr>
          <w:sz w:val="22"/>
          <w:szCs w:val="22"/>
        </w:rPr>
        <w:t>Товар дол</w:t>
      </w:r>
      <w:r>
        <w:rPr/>
        <w:t xml:space="preserve">жен быть новым (под новым товаром понимается товар, который не был в употреблении, не были восстановлены потребительские свойства). Качество поставляемого товара должно соответствовать действующим в Российской Федерации государственным стандартам качества, техническим условиям, санитарным нормам и другим нормативным документам. </w:t>
      </w:r>
    </w:p>
    <w:p>
      <w:pPr>
        <w:pStyle w:val="Normal"/>
        <w:rPr/>
      </w:pPr>
      <w:r>
        <w:rPr/>
        <w:t>Обязательным условием является точное соответствие по назначению, наименованию, а также иным характеристикам, указанным в таблице. Маркировка упаковки должна строго соответствовать маркировке товара. Упаковка должна обеспечивать сохранность товара при транспортировке, погрузо-разгрузочных работах к конечному месту эксплуатации и хранении до ввода в эксплуатацию.</w:t>
      </w:r>
    </w:p>
    <w:p>
      <w:pPr>
        <w:pStyle w:val="Normal"/>
        <w:jc w:val="center"/>
        <w:rPr/>
      </w:pPr>
      <w:r>
        <w:rPr/>
        <w:t>Характеристика объекта закупки</w:t>
      </w:r>
    </w:p>
    <w:p>
      <w:pPr>
        <w:pStyle w:val="Normal"/>
        <w:jc w:val="center"/>
        <w:rPr/>
      </w:pPr>
      <w:r>
        <w:rPr/>
      </w:r>
    </w:p>
    <w:p>
      <w:pPr>
        <w:pStyle w:val="Title"/>
        <w:jc w:val="both"/>
        <w:rPr>
          <w:sz w:val="28"/>
          <w:szCs w:val="28"/>
        </w:rPr>
      </w:pPr>
      <w:r>
        <w:rPr>
          <w:bCs/>
          <w:sz w:val="28"/>
          <w:szCs w:val="28"/>
        </w:rPr>
        <w:t xml:space="preserve">Датчик потока </w:t>
      </w:r>
      <w:r>
        <w:rPr>
          <w:bCs/>
          <w:sz w:val="28"/>
          <w:szCs w:val="28"/>
          <w:lang w:val="en-US"/>
        </w:rPr>
        <w:t>S</w:t>
      </w:r>
      <w:r>
        <w:rPr>
          <w:bCs/>
          <w:sz w:val="28"/>
          <w:szCs w:val="28"/>
        </w:rPr>
        <w:t>piro</w:t>
      </w:r>
      <w:r>
        <w:rPr>
          <w:bCs/>
          <w:sz w:val="28"/>
          <w:szCs w:val="28"/>
          <w:lang w:val="en-US"/>
        </w:rPr>
        <w:t>L</w:t>
      </w:r>
      <w:r>
        <w:rPr>
          <w:bCs/>
          <w:sz w:val="28"/>
          <w:szCs w:val="28"/>
        </w:rPr>
        <w:t xml:space="preserve">ife </w:t>
      </w:r>
      <w:r>
        <w:rPr>
          <w:bCs/>
          <w:sz w:val="28"/>
          <w:szCs w:val="28"/>
          <w:lang w:val="en-US"/>
        </w:rPr>
        <w:t>PPSU</w:t>
      </w:r>
      <w:r>
        <w:rPr>
          <w:bCs/>
          <w:sz w:val="28"/>
          <w:szCs w:val="28"/>
        </w:rPr>
        <w:t xml:space="preserve"> (полифенилсульфон) (каталожный номер MK01900) для обеспечения бесперебойной работы наркозно-дыхательных аппаратов </w:t>
      </w:r>
      <w:r>
        <w:rPr>
          <w:bCs/>
          <w:sz w:val="28"/>
          <w:szCs w:val="28"/>
          <w:lang w:val="en-US"/>
        </w:rPr>
        <w:t>Drager</w:t>
      </w:r>
      <w:r>
        <w:rPr>
          <w:bCs/>
          <w:sz w:val="28"/>
          <w:szCs w:val="28"/>
        </w:rPr>
        <w:t xml:space="preserve"> </w:t>
      </w:r>
      <w:r>
        <w:rPr>
          <w:bCs/>
          <w:sz w:val="28"/>
          <w:szCs w:val="28"/>
          <w:lang w:val="en-US"/>
        </w:rPr>
        <w:t>Zeus</w:t>
      </w:r>
      <w:r>
        <w:rPr>
          <w:bCs/>
          <w:sz w:val="28"/>
          <w:szCs w:val="28"/>
        </w:rPr>
        <w:t xml:space="preserve"> </w:t>
      </w:r>
      <w:r>
        <w:rPr>
          <w:bCs/>
          <w:sz w:val="28"/>
          <w:szCs w:val="28"/>
          <w:lang w:val="en-US"/>
        </w:rPr>
        <w:t>Infinity</w:t>
      </w:r>
      <w:r>
        <w:rPr>
          <w:bCs/>
          <w:sz w:val="28"/>
          <w:szCs w:val="28"/>
        </w:rPr>
        <w:t xml:space="preserve"> </w:t>
      </w:r>
      <w:r>
        <w:rPr>
          <w:bCs/>
          <w:sz w:val="28"/>
          <w:szCs w:val="28"/>
          <w:lang w:val="en-US"/>
        </w:rPr>
        <w:t xml:space="preserve">Emprowered – 2 </w:t>
      </w:r>
      <w:r>
        <w:rPr>
          <w:bCs/>
          <w:sz w:val="28"/>
          <w:szCs w:val="28"/>
          <w:lang w:val="ru-RU"/>
        </w:rPr>
        <w:t>штуки</w:t>
      </w:r>
    </w:p>
    <w:p>
      <w:pPr>
        <w:pStyle w:val="Title"/>
        <w:jc w:val="both"/>
        <w:rPr>
          <w:bCs/>
          <w:sz w:val="32"/>
          <w:szCs w:val="32"/>
          <w:lang w:val="ru-RU"/>
        </w:rPr>
      </w:pPr>
      <w:r>
        <w:rPr>
          <w:bCs/>
          <w:sz w:val="32"/>
          <w:szCs w:val="32"/>
          <w:lang w:val="ru-RU"/>
        </w:rPr>
      </w:r>
    </w:p>
    <w:p>
      <w:pPr>
        <w:pStyle w:val="Title"/>
        <w:jc w:val="both"/>
        <w:rPr>
          <w:bCs/>
          <w:sz w:val="32"/>
          <w:szCs w:val="32"/>
          <w:lang w:val="ru-RU"/>
        </w:rPr>
      </w:pPr>
      <w:r>
        <w:rPr>
          <w:bCs/>
          <w:sz w:val="32"/>
          <w:szCs w:val="32"/>
          <w:lang w:val="ru-RU"/>
        </w:rPr>
      </w:r>
    </w:p>
    <w:p>
      <w:pPr>
        <w:pStyle w:val="Normal"/>
        <w:rPr>
          <w:rFonts w:eastAsia="Calibri"/>
          <w:b/>
        </w:rPr>
      </w:pPr>
      <w:r>
        <w:rPr>
          <w:rFonts w:eastAsia="Calibri"/>
          <w:b/>
        </w:rPr>
        <w:t xml:space="preserve">2. Сроки и условия поставки товара: </w:t>
      </w:r>
    </w:p>
    <w:p>
      <w:pPr>
        <w:pStyle w:val="Normal"/>
        <w:ind w:firstLine="709" w:end="-101"/>
        <w:rPr/>
      </w:pPr>
      <w:r>
        <w:rPr/>
        <w:t>Поставка Товара осуществляется с момента заключения Контракта на основании заявок Заказчика, направленных в ПИК ЕАСУЗ, срок исполнения 5 рабочих дней. Незаявленный товар не принимается и не оплачивается. Поставка осуществляется специализированным транспортом Поставщика, погрузо-разгрузочные работы – силами Поставщика.</w:t>
      </w:r>
    </w:p>
    <w:p>
      <w:pPr>
        <w:pStyle w:val="Normal"/>
        <w:ind w:firstLine="709" w:end="-101"/>
        <w:rPr/>
      </w:pPr>
      <w:r>
        <w:rPr/>
      </w:r>
    </w:p>
    <w:p>
      <w:pPr>
        <w:pStyle w:val="Normal"/>
        <w:ind w:firstLine="709" w:end="-101"/>
        <w:rPr/>
      </w:pPr>
      <w:r>
        <w:rPr>
          <w:b/>
        </w:rPr>
        <w:t>3. Место поставки:</w:t>
      </w:r>
      <w:r>
        <w:rPr/>
        <w:t xml:space="preserve"> Московская обл., г.о. Подольск, д. Бородино, Варшавское шоссе, д. 85.</w:t>
      </w:r>
    </w:p>
    <w:p>
      <w:pPr>
        <w:pStyle w:val="Normal"/>
        <w:rPr>
          <w:b/>
          <w:bCs/>
        </w:rPr>
      </w:pPr>
      <w:r>
        <w:rPr>
          <w:b/>
          <w:bCs/>
        </w:rPr>
      </w:r>
    </w:p>
    <w:p>
      <w:pPr>
        <w:pStyle w:val="Normal"/>
        <w:rPr/>
      </w:pPr>
      <w:r>
        <w:rPr>
          <w:b/>
          <w:bCs/>
        </w:rPr>
        <w:t xml:space="preserve">4. Порядок оплаты:  </w:t>
      </w:r>
    </w:p>
    <w:p>
      <w:pPr>
        <w:pStyle w:val="Normal"/>
        <w:widowControl w:val="false"/>
        <w:textAlignment w:val="baseline"/>
        <w:rPr>
          <w:kern w:val="2"/>
        </w:rPr>
      </w:pPr>
      <w:r>
        <w:rPr>
          <w:rFonts w:eastAsia="Calibri"/>
          <w:kern w:val="2"/>
        </w:rPr>
        <w:t xml:space="preserve">Оплата товара (партии товара) производится по факту поставки на основании документов приемки, установленных в Приложении №3 к контракту посредством системы ПИК ЕАСУЗ, путем безналичного перечисления на расчетный счет Поставщика денежных средств в срок, не превышающий 5 (пяти) рабочих дней со дня подписания Заказчиком документов о приемке. </w:t>
      </w:r>
    </w:p>
    <w:p>
      <w:pPr>
        <w:pStyle w:val="Normal"/>
        <w:widowControl w:val="false"/>
        <w:textAlignment w:val="baseline"/>
        <w:rPr>
          <w:kern w:val="2"/>
        </w:rPr>
      </w:pPr>
      <w:r>
        <w:rPr>
          <w:kern w:val="2"/>
        </w:rPr>
      </w:r>
    </w:p>
    <w:p>
      <w:pPr>
        <w:pStyle w:val="Normal"/>
        <w:rPr>
          <w:b/>
        </w:rPr>
      </w:pPr>
      <w:r>
        <w:rPr>
          <w:b/>
        </w:rPr>
        <w:t>5. Требования к поставке:</w:t>
      </w:r>
    </w:p>
    <w:p>
      <w:pPr>
        <w:pStyle w:val="Normal"/>
        <w:rPr/>
      </w:pPr>
      <w:r>
        <w:rPr/>
        <w:t>- доставка товара на склады организации Заказчиков должна производиться Поставщиком.</w:t>
      </w:r>
    </w:p>
    <w:p>
      <w:pPr>
        <w:pStyle w:val="Normal"/>
        <w:rPr/>
      </w:pPr>
      <w:r>
        <w:rPr/>
        <w:t xml:space="preserve">- поставщик должен предусматривать и за свой счет обеспечить оформление в установленном порядке пропусков на автотранспорт (при необходимости) для обеспечения доставки товара на склады Заказчика. </w:t>
      </w:r>
    </w:p>
    <w:p>
      <w:pPr>
        <w:pStyle w:val="Normal"/>
        <w:rPr/>
      </w:pPr>
      <w:r>
        <w:rPr/>
        <w:t xml:space="preserve">- поставщик для обеспечения доставки (перевозки) товара на склад Заказчика вправе привлекать транспортные компании или транспорт третьих лиц, при этом передачу (сдачу) товара на склад организации Заказчика осуществляет исключительно Поставщиком. </w:t>
      </w:r>
    </w:p>
    <w:p>
      <w:pPr>
        <w:pStyle w:val="Normal"/>
        <w:rPr/>
      </w:pPr>
      <w:r>
        <w:rPr/>
        <w:t>- поставщик осуществляет поставку товара в соответствии с отгрузочной разнарядкой (заявкой) Заказчика.</w:t>
      </w:r>
    </w:p>
    <w:p>
      <w:pPr>
        <w:pStyle w:val="Normal"/>
        <w:rPr/>
      </w:pPr>
      <w:r>
        <w:rPr/>
        <w:t xml:space="preserve">- приемка товара на склад Заказчика осуществляется по рабочим дням с 9 до 15 часов (в пятницу и предпраздничные дни с 10 до 15.00 часов). </w:t>
      </w:r>
    </w:p>
    <w:p>
      <w:pPr>
        <w:pStyle w:val="Normal"/>
        <w:rPr/>
      </w:pPr>
      <w:r>
        <w:rPr/>
        <w:t>- товар поставляется Поставщиком в оригинальной заводской упаковке, которая должна обеспечивать его сохранность, товарный вид, предохранять от всякого рода повреждений при транспортировке.</w:t>
      </w:r>
    </w:p>
    <w:p>
      <w:pPr>
        <w:pStyle w:val="Normal"/>
        <w:rPr/>
      </w:pPr>
      <w:r>
        <w:rPr/>
        <w:t>- перевозка, разгрузка, перенос товара до места хранения осуществляется за счет средств и силами Поставщика.</w:t>
      </w:r>
    </w:p>
    <w:p>
      <w:pPr>
        <w:pStyle w:val="Normal"/>
        <w:rPr/>
      </w:pPr>
      <w:r>
        <w:rPr/>
        <w:t xml:space="preserve">- разгрузку товара с транспорта Поставщика на складе Заказчика производит Поставщик. </w:t>
      </w:r>
    </w:p>
    <w:p>
      <w:pPr>
        <w:pStyle w:val="Normal"/>
        <w:rPr/>
      </w:pPr>
      <w:r>
        <w:rPr/>
      </w:r>
    </w:p>
    <w:p>
      <w:pPr>
        <w:pStyle w:val="Normal"/>
        <w:rPr>
          <w:b/>
        </w:rPr>
      </w:pPr>
      <w:r>
        <w:rPr>
          <w:b/>
        </w:rPr>
        <w:t>6. Требования к качеству товара:</w:t>
      </w:r>
    </w:p>
    <w:p>
      <w:pPr>
        <w:pStyle w:val="ListParagraph"/>
        <w:tabs>
          <w:tab w:val="clear" w:pos="708"/>
          <w:tab w:val="left" w:pos="0" w:leader="none"/>
          <w:tab w:val="left" w:pos="851" w:leader="none"/>
          <w:tab w:val="left" w:pos="993" w:leader="none"/>
          <w:tab w:val="left" w:pos="1134" w:leader="none"/>
        </w:tabs>
        <w:ind w:hanging="0" w:start="0"/>
        <w:jc w:val="both"/>
        <w:rPr>
          <w:rFonts w:ascii="Times New Roman" w:hAnsi="Times New Roman" w:cs="Times New Roman"/>
          <w:sz w:val="24"/>
          <w:szCs w:val="24"/>
        </w:rPr>
      </w:pPr>
      <w:r>
        <w:rPr>
          <w:rFonts w:cs="Times New Roman" w:ascii="Times New Roman" w:hAnsi="Times New Roman"/>
          <w:sz w:val="24"/>
          <w:szCs w:val="24"/>
        </w:rPr>
        <w:t xml:space="preserve">Гарантийный срок Поставщика: составляет не менее 12 месяцев на дату поставки. </w:t>
      </w:r>
    </w:p>
    <w:p>
      <w:pPr>
        <w:pStyle w:val="ListParagraph"/>
        <w:tabs>
          <w:tab w:val="clear" w:pos="708"/>
          <w:tab w:val="left" w:pos="0" w:leader="none"/>
          <w:tab w:val="left" w:pos="851" w:leader="none"/>
          <w:tab w:val="left" w:pos="993" w:leader="none"/>
          <w:tab w:val="left" w:pos="1134" w:leader="none"/>
        </w:tabs>
        <w:ind w:hanging="0" w:start="0"/>
        <w:jc w:val="both"/>
        <w:rPr>
          <w:rFonts w:ascii="Times New Roman" w:hAnsi="Times New Roman" w:cs="Times New Roman"/>
          <w:sz w:val="24"/>
          <w:szCs w:val="24"/>
        </w:rPr>
      </w:pPr>
      <w:r>
        <w:rPr>
          <w:rFonts w:cs="Times New Roman" w:ascii="Times New Roman" w:hAnsi="Times New Roman"/>
          <w:sz w:val="24"/>
          <w:szCs w:val="24"/>
        </w:rPr>
        <w:t>Поставщик гарантирует соответствие количества, качества поставляемого товара предъявляемым требованиям. Претензии по качеству полученного товара Заказчик вправе предъявить Поставщику в течение всего срока годности товара. Гарантийный период исчисляется с даты подписания «Универсальный передаточный документ (СЧФДОП), формат УПД, утвержденный приказом ФНС России». При обнаружении дефектов товара  в период гарантийного срока, возникших по независящим от Заказчика причинам, Поставщик обязан за свой счет устранить, либо заменить товар ненадлежащего качества новым на следующий день после получения письменного уведомления от Заказчика (в том числе посредством факсимильной связи и/или электронной почты, с последующим направлением оригинала) и не позднее 15 часов 00 минут. Гарантийный срок на товар в данном случае продлевается на период устранения дефектов. Если Поставщик оспаривает факт поставки товара ненадлежащего качества, Стороны привлекают для выявления производственного, либо иного характера недостатков товара независимого эксперта. Оплата услуг эксперта осуществляется за счет Поставщика. В случае если экспертиза подтверждает, что ненадлежащее качество товара возникло по вине производителя товара либо Поставщика, то есть до момента передачи товара Заказчику, расходы по оплате услуг эксперта должны быть возмещены Поставщиком.</w:t>
      </w:r>
    </w:p>
    <w:p>
      <w:pPr>
        <w:pStyle w:val="Normal"/>
        <w:tabs>
          <w:tab w:val="clear" w:pos="708"/>
          <w:tab w:val="left" w:pos="142" w:leader="none"/>
        </w:tabs>
        <w:rPr/>
      </w:pPr>
      <w:r>
        <w:rPr/>
        <w:t>Товар с обнаруженными недостатками, не соответствующий требованиям, а также некомплектный и не имеющий сопроводительных документов, считается не поставленным. При поставке товара предоставляются заверенные копии документов: регистрационное удостоверение на товар, сертификат соответствия.</w:t>
      </w:r>
    </w:p>
    <w:p>
      <w:pPr>
        <w:pStyle w:val="Normal"/>
        <w:rPr/>
      </w:pPr>
      <w:r>
        <w:rPr/>
      </w:r>
    </w:p>
    <w:p>
      <w:pPr>
        <w:pStyle w:val="Normal"/>
        <w:widowControl w:val="false"/>
        <w:rPr/>
      </w:pPr>
      <w:r>
        <w:rPr>
          <w:b/>
        </w:rPr>
        <w:t xml:space="preserve">7. Цена контракта включает в себя: </w:t>
      </w:r>
      <w:r>
        <w:rPr/>
        <w:t>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установленные налоги, сборы и иные расходы, связанные с исполнением контракта. Неучтенные затраты Поставщика по контракту, связанные с исполнением контракта, но не включенные в цену контракта, не подлежат оплате Заказчиком.</w:t>
      </w:r>
    </w:p>
    <w:p>
      <w:pPr>
        <w:pStyle w:val="Normal"/>
        <w:widowControl w:val="false"/>
        <w:rPr/>
      </w:pPr>
      <w:r>
        <w:rPr/>
      </w:r>
      <w:bookmarkEnd w:id="0"/>
    </w:p>
    <w:sectPr>
      <w:type w:val="nextPage"/>
      <w:pgSz w:w="11906" w:h="16838"/>
      <w:pgMar w:left="1134" w:right="567"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 w:name="Liberation Sans">
    <w:altName w:val="Arial"/>
    <w:charset w:val="cc" w:characterSet="windows-1251"/>
    <w:family w:val="swiss"/>
    <w:pitch w:val="variable"/>
  </w:font>
</w:fonts>
</file>

<file path=word/settings.xml><?xml version="1.0" encoding="utf-8"?>
<w:settings xmlns:w="http://schemas.openxmlformats.org/wordprocessingml/2006/main">
  <w:zoom w:percent="7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a12b5"/>
    <w:pPr>
      <w:widowControl/>
      <w:suppressAutoHyphens w:val="true"/>
      <w:bidi w:val="0"/>
      <w:spacing w:lineRule="auto" w:line="240" w:before="0" w:after="0"/>
      <w:ind w:firstLine="709"/>
      <w:jc w:val="both"/>
    </w:pPr>
    <w:rPr>
      <w:rFonts w:ascii="Times New Roman" w:hAnsi="Times New Roman" w:eastAsia="Times New Roman" w:cs="Times New Roman"/>
      <w:color w:val="auto"/>
      <w:kern w:val="0"/>
      <w:sz w:val="24"/>
      <w:szCs w:val="24"/>
      <w:lang w:val="ru-RU" w:eastAsia="ar-SA"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6a12b5"/>
    <w:rPr>
      <w:strike w:val="false"/>
      <w:dstrike w:val="false"/>
      <w:color w:val="057B34"/>
      <w:u w:val="none"/>
      <w:effect w:val="none"/>
    </w:rPr>
  </w:style>
  <w:style w:type="character" w:styleId="SubtleEmphasis">
    <w:name w:val="Subtle Emphasis"/>
    <w:basedOn w:val="DefaultParagraphFont"/>
    <w:uiPriority w:val="19"/>
    <w:qFormat/>
    <w:rsid w:val="006a12b5"/>
    <w:rPr>
      <w:i/>
      <w:iCs/>
      <w:color w:themeColor="text1" w:themeTint="bf" w:val="404040"/>
    </w:rPr>
  </w:style>
  <w:style w:type="character" w:styleId="Style14" w:customStyle="1">
    <w:name w:val="Абзац списка Знак"/>
    <w:link w:val="ListParagraph"/>
    <w:uiPriority w:val="34"/>
    <w:qFormat/>
    <w:locked/>
    <w:rsid w:val="006a12b5"/>
    <w:rPr/>
  </w:style>
  <w:style w:type="paragraph" w:styleId="Style1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6">
    <w:name w:val="Указатель"/>
    <w:basedOn w:val="Normal"/>
    <w:qFormat/>
    <w:pPr>
      <w:suppressLineNumbers/>
    </w:pPr>
    <w:rPr>
      <w:rFonts w:cs="Arial"/>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Указатель (user)"/>
    <w:basedOn w:val="Normal"/>
    <w:qFormat/>
    <w:pPr>
      <w:suppressLineNumbers/>
    </w:pPr>
    <w:rPr>
      <w:rFonts w:cs="Arial"/>
    </w:rPr>
  </w:style>
  <w:style w:type="paragraph" w:styleId="ListParagraph">
    <w:name w:val="List Paragraph"/>
    <w:basedOn w:val="Normal"/>
    <w:link w:val="Style14"/>
    <w:uiPriority w:val="34"/>
    <w:qFormat/>
    <w:rsid w:val="006a12b5"/>
    <w:pPr>
      <w:suppressAutoHyphens w:val="false"/>
      <w:spacing w:lineRule="auto" w:line="259" w:before="0" w:after="160"/>
      <w:ind w:hanging="0" w:start="720"/>
      <w:contextualSpacing/>
      <w:jc w:val="start"/>
    </w:pPr>
    <w:rPr>
      <w:rFonts w:ascii="Calibri" w:hAnsi="Calibri" w:eastAsia="Calibri" w:cs="" w:asciiTheme="minorHAnsi" w:cstheme="minorBidi" w:eastAsiaTheme="minorHAnsi" w:hAnsiTheme="minorHAnsi"/>
      <w:sz w:val="22"/>
      <w:szCs w:val="22"/>
      <w:lang w:eastAsia="en-US"/>
    </w:rPr>
  </w:style>
  <w:style w:type="paragraph" w:styleId="NormalWeb">
    <w:name w:val="Normal (Web)"/>
    <w:basedOn w:val="Normal"/>
    <w:uiPriority w:val="99"/>
    <w:unhideWhenUsed/>
    <w:qFormat/>
    <w:rsid w:val="006a12b5"/>
    <w:pPr>
      <w:suppressAutoHyphens w:val="false"/>
      <w:spacing w:beforeAutospacing="1" w:afterAutospacing="1"/>
      <w:ind w:hanging="0"/>
      <w:jc w:val="start"/>
    </w:pPr>
    <w:rPr>
      <w:lang w:eastAsia="ru-RU"/>
    </w:rPr>
  </w:style>
  <w:style w:type="paragraph" w:styleId="Title">
    <w:name w:val="Title"/>
    <w:basedOn w:val="Normal"/>
    <w:qFormat/>
    <w:pPr>
      <w:suppressAutoHyphens w:val="false"/>
      <w:spacing w:lineRule="auto" w:line="240" w:before="0" w:after="0"/>
      <w:jc w:val="center"/>
    </w:pPr>
    <w:rPr>
      <w:rFonts w:ascii="Times New Roman" w:hAnsi="Times New Roman" w:eastAsia="Times New Roman" w:cs="Times New Roman"/>
      <w:b/>
      <w:sz w:val="18"/>
      <w:szCs w:val="20"/>
      <w:lang w:eastAsia="ru-RU"/>
    </w:rPr>
  </w:style>
  <w:style w:type="paragraph" w:styleId="user2">
    <w:name w:val="Содержимое таблицы (user)"/>
    <w:basedOn w:val="Normal"/>
    <w:qFormat/>
    <w:pPr>
      <w:widowControl w:val="false"/>
      <w:suppressLineNumbers/>
    </w:pPr>
    <w:rPr/>
  </w:style>
  <w:style w:type="paragraph" w:styleId="user3">
    <w:name w:val="Заголовок таблицы (user)"/>
    <w:basedOn w:val="user2"/>
    <w:qFormat/>
    <w:pPr>
      <w:suppressLineNumbers/>
      <w:jc w:val="center"/>
    </w:pPr>
    <w:rPr>
      <w:b/>
      <w:bCs/>
    </w:rPr>
  </w:style>
  <w:style w:type="numbering" w:styleId="user4"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1">
    <w:name w:val="Сетка таблицы1"/>
    <w:basedOn w:val="a1"/>
    <w:uiPriority w:val="39"/>
    <w:rsid w:val="006a12b5"/>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4">
    <w:name w:val="Table Grid"/>
    <w:basedOn w:val="a1"/>
    <w:uiPriority w:val="39"/>
    <w:rsid w:val="006a12b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30</TotalTime>
  <Application>LibreOffice/26.2.6.3$Windows_X86_64 LibreOffice_project/8221e31b3ac356a1623c672912a3d2b492f7e3d1</Application>
  <AppVersion>15.0000</AppVersion>
  <Pages>2</Pages>
  <Words>653</Words>
  <Characters>4690</Characters>
  <CharactersWithSpaces>5332</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2026-05-18T12:32:00Z</dcterms:created>
  <dc:creator>ChistotinaNV</dc:creator>
  <dc:description/>
  <dc:language>ru-RU</dc:language>
  <cp:lastModifiedBy/>
  <dcterms:modified xsi:type="dcterms:W3CDTF">2026-10-13T16:51:33Z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