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jpg" ContentType="image/jpe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офисной мебели для руководителей Администрации городского округа Лобня (Лот 2)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6491675" cy="4320000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d8650b1664044a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1675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Тумба для документов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В соответствии с приложением 5 к Контракту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6492934" cy="432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3ba304a4903e40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934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Креденция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В соответствии с приложением 5 к Контракту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6492343" cy="4320000"/>
                  <wp:effectExtent l="0" t="0" r="0" b="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e089cfd2b3494f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343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Брифинг- приставка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В соответствии с приложением 5 к Контракту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из зоны приемки до места хранения Товара, указанного Заказчиком в пределах места поставки.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сборка Товара осуществляется без ущерба его функциональным, техническим и качественным характеристикам, без порчи товарного вида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Relationship Type="http://schemas.openxmlformats.org/officeDocument/2006/relationships/image" Target="media/image_f4b30028e35c410b8219d397337c5054.jpg" Id="Rd8650b1664044ad6" /><Relationship Type="http://schemas.openxmlformats.org/officeDocument/2006/relationships/image" Target="media/image_7ba61f484486411db9cfa880ea33d071.jpg" Id="R3ba304a4903e4050" /><Relationship Type="http://schemas.openxmlformats.org/officeDocument/2006/relationships/image" Target="media/image_a914ca2fdcb64a57b0bbf580f0a22df2.jpg" Id="Re089cfd2b3494f12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