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1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1.xml" ContentType="application/xml"/>
  <Override PartName="/customXml/itemProps1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20CFF" w:rsidR="002D2879" w:rsidP="002D2879" w:rsidRDefault="002D2879" w14:paraId="3C92FD79" w14:textId="2F4E4FC9">
      <w:pPr>
        <w:pStyle w:val="ConsPlusNormal"/>
        <w:ind w:firstLine="540"/>
        <w:jc w:val="right"/>
        <w:rPr>
          <w:color w:val="000000" w:themeColor="text1"/>
        </w:rPr>
      </w:pPr>
      <w:r w:rsidRPr="008D64A9">
        <w:rPr>
          <w:color w:val="000000" w:themeColor="text1"/>
        </w:rPr>
        <w:t xml:space="preserve">Приложение </w:t>
      </w:r>
      <w:r w:rsidR="00E20CFF">
        <w:rPr>
          <w:color w:val="000000" w:themeColor="text1"/>
        </w:rPr>
        <w:t>№1</w:t>
      </w:r>
    </w:p>
    <w:p w:rsidR="002D2879" w:rsidP="002D2879" w:rsidRDefault="002D2879" w14:paraId="6E12D296" w14:textId="0A33CFE2">
      <w:pPr>
        <w:pStyle w:val="ConsPlusNormal"/>
        <w:ind w:firstLine="540"/>
        <w:jc w:val="right"/>
        <w:rPr>
          <w:color w:val="000000" w:themeColor="text1"/>
        </w:rPr>
      </w:pPr>
      <w:r w:rsidRPr="008D64A9">
        <w:rPr>
          <w:color w:val="000000" w:themeColor="text1"/>
        </w:rPr>
        <w:t>к Описанию объекта закупки</w:t>
      </w:r>
    </w:p>
    <w:p w:rsidR="009F3820" w:rsidP="00E16397" w:rsidRDefault="002F6CE5" w14:paraId="61405AE2" w14:textId="37DE5593">
      <w:pPr>
        <w:pStyle w:val="ConsPlusNormal"/>
        <w:ind w:firstLine="540"/>
        <w:jc w:val="center"/>
        <w:rPr>
          <w:b/>
          <w:sz w:val="28"/>
          <w:szCs w:val="28"/>
        </w:rPr>
      </w:pPr>
      <w:r w:rsidRPr="002F6CE5">
        <w:rPr>
          <w:b/>
          <w:sz w:val="28"/>
          <w:szCs w:val="28"/>
        </w:rPr>
        <w:t>Требования к функциональным, техническим и качественным, эксплуатационным (при необходимости) характеристикам товара</w:t>
      </w:r>
    </w:p>
    <w:p w:rsidR="00E16397" w:rsidP="00E16397" w:rsidRDefault="00E16397" w14:paraId="6785B461" w14:textId="7F67B554">
      <w:pPr>
        <w:pStyle w:val="ConsPlusNormal"/>
        <w:ind w:firstLine="540"/>
        <w:jc w:val="center"/>
        <w:rPr>
          <w:b/>
          <w:color w:val="000000" w:themeColor="text1"/>
          <w:spacing w:val="-2"/>
        </w:rPr>
      </w:pPr>
      <w:bookmarkStart w:name="Specifications" w:id="0"/>
      <w:bookmarkEnd w:id="0"/>
    </w:p>
    <w:tbl>
      <w:tblPr>
        <w:tblBorders>
          <w:top w:val="single"/>
          <w:left w:val="single"/>
          <w:bottom w:val="single"/>
          <w:right w:val="single"/>
          <w:insideH w:val="single"/>
          <w:insideV w:val="single"/>
        </w:tblBorders>
        <w:tblW w:w="5000" w:type="pct"/>
        <w:tblLayout w:type="autofit"/>
        <w:tblInd w:w="0" w:type="dxa"/>
      </w:tblPr>
      <w:tr>
        <w:tc>
          <w:tcPr>
            <w:vMerge w:val="restart"/>
          </w:tcPr>
          <w:p>
            <w:pPr/>
            <w:r>
              <w:rPr>
                <w:rFonts w:ascii="Times New Roman" w:hAnsi="Times New Roman" w:eastAsia="Times New Roman" w:cs="Times New Roman"/>
                <w:sz w:val="24"/>
              </w:rPr>
              <w:t xml:space="preserve">№ п/п</w:t>
            </w:r>
          </w:p>
        </w:tc>
        <w:tc>
          <w:tcPr>
            <w:vMerge w:val="restart"/>
          </w:tcPr>
          <w:p>
            <w:pPr/>
            <w:r>
              <w:rPr>
                <w:rFonts w:ascii="Times New Roman" w:hAnsi="Times New Roman" w:eastAsia="Times New Roman" w:cs="Times New Roman"/>
                <w:sz w:val="24"/>
              </w:rPr>
              <w:t xml:space="preserve">Наименование товара, работы, услуги по ОКПД2/КТРУ/КОЗ2</w:t>
            </w:r>
          </w:p>
        </w:tc>
        <w:tc>
          <w:tcPr>
            <w:vMerge w:val="restart"/>
          </w:tcPr>
          <w:p>
            <w:pPr/>
            <w:r>
              <w:rPr>
                <w:rFonts w:ascii="Times New Roman" w:hAnsi="Times New Roman" w:eastAsia="Times New Roman" w:cs="Times New Roman"/>
                <w:sz w:val="24"/>
              </w:rPr>
              <w:t xml:space="preserve">РХО</w:t>
            </w:r>
          </w:p>
        </w:tc>
        <w:tc>
          <w:tcPr>
            <w:vMerge w:val="restart"/>
          </w:tcPr>
          <w:p>
            <w:pPr/>
            <w:r>
              <w:rPr>
                <w:rFonts w:ascii="Times New Roman" w:hAnsi="Times New Roman" w:eastAsia="Times New Roman" w:cs="Times New Roman"/>
                <w:sz w:val="24"/>
              </w:rPr>
              <w:t xml:space="preserve">Детализированное наименование товара, работы, услуги</w:t>
            </w:r>
          </w:p>
        </w:tc>
        <w:tc>
          <w:tcPr>
            <w:vMerge w:val="restart"/>
          </w:tcPr>
          <w:p>
            <w:pPr/>
            <w:r>
              <w:rPr>
                <w:rFonts w:ascii="Times New Roman" w:hAnsi="Times New Roman" w:eastAsia="Times New Roman" w:cs="Times New Roman"/>
                <w:sz w:val="24"/>
              </w:rPr>
              <w:t xml:space="preserve">Указание на товарный знак</w:t>
            </w:r>
          </w:p>
        </w:tc>
        <w:tc>
          <w:tcPr>
            <w:gridSpan w:val="3"/>
          </w:tcPr>
          <w:p>
            <w:pPr/>
            <w:r>
              <w:rPr>
                <w:rFonts w:ascii="Times New Roman" w:hAnsi="Times New Roman" w:eastAsia="Times New Roman" w:cs="Times New Roman"/>
                <w:sz w:val="24"/>
              </w:rPr>
              <w:t xml:space="preserve">Требования к функциональным,техническим и качественным, эксплуатационным (при необходимости) характеристикам товара</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Наименование показателя товара</w:t>
            </w:r>
          </w:p>
        </w:tc>
        <w:tc>
          <w:tcPr>
            <w:vMerge w:val="restart"/>
          </w:tcPr>
          <w:p>
            <w:pPr/>
            <w:r>
              <w:rPr>
                <w:rFonts w:ascii="Times New Roman" w:hAnsi="Times New Roman" w:eastAsia="Times New Roman" w:cs="Times New Roman"/>
                <w:sz w:val="24"/>
              </w:rPr>
              <w:t xml:space="preserve">Требуемое значение показателя, установленное заказчиком</w:t>
            </w:r>
          </w:p>
        </w:tc>
        <w:tc>
          <w:tcPr>
            <w:vMerge w:val="restart"/>
          </w:tcPr>
          <w:p>
            <w:pPr/>
            <w:r>
              <w:rPr>
                <w:rFonts w:ascii="Times New Roman" w:hAnsi="Times New Roman" w:eastAsia="Times New Roman" w:cs="Times New Roman"/>
                <w:sz w:val="24"/>
              </w:rPr>
              <w:t xml:space="preserve">Единица измерения</w:t>
            </w:r>
          </w:p>
        </w:tc>
      </w:tr>
      <w:tr>
        <w:tc>
          <w:p>
            <w:pPr/>
            <w:r>
              <w:rPr>
                <w:rFonts w:ascii="Times New Roman" w:hAnsi="Times New Roman" w:eastAsia="Times New Roman" w:cs="Times New Roman"/>
                <w:sz w:val="24"/>
              </w:rPr>
              <w:t xml:space="preserve">1</w:t>
            </w:r>
          </w:p>
        </w:tc>
        <w:tc>
          <w:p>
            <w:pPr/>
            <w:r>
              <w:rPr>
                <w:rFonts w:ascii="Times New Roman" w:hAnsi="Times New Roman" w:eastAsia="Times New Roman" w:cs="Times New Roman"/>
                <w:sz w:val="24"/>
              </w:rPr>
              <w:t xml:space="preserve">2</w:t>
            </w:r>
          </w:p>
        </w:tc>
        <w:tc>
          <w:p>
            <w:pPr/>
            <w:r>
              <w:rPr>
                <w:rFonts w:ascii="Times New Roman" w:hAnsi="Times New Roman" w:eastAsia="Times New Roman" w:cs="Times New Roman"/>
                <w:sz w:val="24"/>
              </w:rPr>
              <w:t xml:space="preserve">3</w:t>
            </w:r>
          </w:p>
        </w:tc>
        <w:tc>
          <w:p>
            <w:pPr/>
            <w:r>
              <w:rPr>
                <w:rFonts w:ascii="Times New Roman" w:hAnsi="Times New Roman" w:eastAsia="Times New Roman" w:cs="Times New Roman"/>
                <w:sz w:val="24"/>
              </w:rPr>
              <w:t xml:space="preserve">4</w:t>
            </w:r>
          </w:p>
        </w:tc>
        <w:tc>
          <w:p>
            <w:pPr/>
            <w:r>
              <w:rPr>
                <w:rFonts w:ascii="Times New Roman" w:hAnsi="Times New Roman" w:eastAsia="Times New Roman" w:cs="Times New Roman"/>
                <w:sz w:val="24"/>
              </w:rPr>
              <w:t xml:space="preserve">5</w:t>
            </w:r>
          </w:p>
        </w:tc>
        <w:tc>
          <w:p>
            <w:pPr/>
            <w:r>
              <w:rPr>
                <w:rFonts w:ascii="Times New Roman" w:hAnsi="Times New Roman" w:eastAsia="Times New Roman" w:cs="Times New Roman"/>
                <w:sz w:val="24"/>
              </w:rPr>
              <w:t xml:space="preserve">6</w:t>
            </w:r>
          </w:p>
        </w:tc>
        <w:tc>
          <w:p>
            <w:pPr/>
            <w:r>
              <w:rPr>
                <w:rFonts w:ascii="Times New Roman" w:hAnsi="Times New Roman" w:eastAsia="Times New Roman" w:cs="Times New Roman"/>
                <w:sz w:val="24"/>
              </w:rPr>
              <w:t xml:space="preserve">7</w:t>
            </w:r>
          </w:p>
        </w:tc>
        <w:tc>
          <w:p>
            <w:pPr/>
            <w:r>
              <w:rPr>
                <w:rFonts w:ascii="Times New Roman" w:hAnsi="Times New Roman" w:eastAsia="Times New Roman" w:cs="Times New Roman"/>
                <w:sz w:val="24"/>
              </w:rPr>
              <w:t xml:space="preserve">8</w:t>
            </w:r>
          </w:p>
        </w:tc>
      </w:tr>
      <w:tr>
        <w:tc>
          <w:tcPr>
            <w:vMerge w:val="restart"/>
          </w:tcPr>
          <w:p>
            <w:pPr/>
            <w:r>
              <w:rPr>
                <w:rFonts w:ascii="Times New Roman" w:hAnsi="Times New Roman" w:eastAsia="Times New Roman" w:cs="Times New Roman"/>
                <w:sz w:val="24"/>
              </w:rPr>
              <w:t xml:space="preserve">1</w:t>
            </w:r>
          </w:p>
        </w:tc>
        <w:tc>
          <w:tcPr>
            <w:vMerge w:val="restart"/>
          </w:tcPr>
          <w:p>
            <w:pPr/>
            <w:r>
              <w:rPr>
                <w:rFonts w:ascii="Times New Roman" w:hAnsi="Times New Roman" w:eastAsia="Times New Roman" w:cs="Times New Roman"/>
                <w:sz w:val="24"/>
              </w:rPr>
              <w:t xml:space="preserve">25.99.29.190-Изделия прочие из недрагоценных металлов, не включенные в другие группировки/-/11.109.02.04.02.04.008-Ключница металлическая</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Ключница настенная металлическая КЛ 200 с брелками</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Ключница настенная металлическая КЛ 200 с брелками</w:t>
            </w:r>
          </w:p>
        </w:tc>
        <w:tc>
          <w:p>
            <w:pPr/>
            <w:r>
              <w:rPr>
                <w:rFonts w:ascii="Times New Roman" w:hAnsi="Times New Roman" w:eastAsia="Times New Roman" w:cs="Times New Roman"/>
                <w:sz w:val="24"/>
              </w:rPr>
              <w:t xml:space="preserve"> Ключница КЛ 200 с брелками производится на заводе "Рубин", который вот уже более 19 лет занимается производством изделий из углеродистой стали. Все линейка производимой продукции выпускается под зарекомендовавшим себя брендом DALLER. Металлическая настенная ключница изготовлена из стали 0,9мм.. Настенная ключница устанавливается через отверстия для крепления(крепеж идет в комплекте). Ключница оснащена надежным ключевым замком, крючками для вешания ключей, а так же брелоками из пластика в количестве 200 штук и самоклеющимися номерками</w:t>
            </w:r>
          </w:p>
        </w:tc>
        <w:tc>
          <w:p>
            <w:pPr/>
            <w:r>
              <w:rPr>
                <w:rFonts w:ascii="Times New Roman" w:hAnsi="Times New Roman" w:eastAsia="Times New Roman" w:cs="Times New Roman"/>
                <w:sz w:val="24"/>
              </w:rPr>
              <w:t xml:space="preserve">-</w:t>
            </w:r>
          </w:p>
        </w:tc>
      </w:tr>
      <w:tr>
        <w:tc>
          <w:tcPr>
            <w:vMerge w:val="restart"/>
          </w:tcPr>
          <w:p>
            <w:pPr/>
            <w:r>
              <w:rPr>
                <w:rFonts w:ascii="Times New Roman" w:hAnsi="Times New Roman" w:eastAsia="Times New Roman" w:cs="Times New Roman"/>
                <w:sz w:val="24"/>
              </w:rPr>
              <w:t xml:space="preserve">2</w:t>
            </w:r>
          </w:p>
        </w:tc>
        <w:tc>
          <w:tcPr>
            <w:vMerge w:val="restart"/>
          </w:tcPr>
          <w:p>
            <w:pPr/>
            <w:r>
              <w:rPr>
                <w:rFonts w:ascii="Times New Roman" w:hAnsi="Times New Roman" w:eastAsia="Times New Roman" w:cs="Times New Roman"/>
                <w:sz w:val="24"/>
              </w:rPr>
              <w:t xml:space="preserve">31.09.11.120-Стеллажи, стойки, вешалки металлические/31.09.11.120-00000003-Вешалка металлическая/11.107.01.02.01.01.011-Вешалка металлическая настенная</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Крючок мебельный KERRON 0071 хром</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Тип вешалки</w:t>
            </w:r>
          </w:p>
        </w:tc>
        <w:tc>
          <w:p>
            <w:pPr/>
            <w:r>
              <w:rPr>
                <w:rFonts w:ascii="Times New Roman" w:hAnsi="Times New Roman" w:eastAsia="Times New Roman" w:cs="Times New Roman"/>
                <w:sz w:val="24"/>
              </w:rPr>
              <w:t xml:space="preserve"> Настенная</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3</w:t>
            </w:r>
          </w:p>
        </w:tc>
        <w:tc>
          <w:tcPr>
            <w:vMerge w:val="restart"/>
          </w:tcPr>
          <w:p>
            <w:pPr/>
            <w:r>
              <w:rPr>
                <w:rFonts w:ascii="Times New Roman" w:hAnsi="Times New Roman" w:eastAsia="Times New Roman" w:cs="Times New Roman"/>
                <w:sz w:val="24"/>
              </w:rPr>
              <w:t xml:space="preserve">25.72.12.111-Замки врезные из недрагоценных металлов/25.72.12.110-00000003-Замок для дверей/11.109.02.05.01.02.003-Замок для дверей врезной комбинированный</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Защелка межкомнатная под цилиндр Vantage P85CP Полированный хром</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Тип замка (по количеству механизмов секретности в одном корпусе)</w:t>
            </w:r>
          </w:p>
        </w:tc>
        <w:tc>
          <w:p>
            <w:pPr/>
            <w:r>
              <w:rPr>
                <w:rFonts w:ascii="Times New Roman" w:hAnsi="Times New Roman" w:eastAsia="Times New Roman" w:cs="Times New Roman"/>
                <w:sz w:val="24"/>
              </w:rPr>
              <w:t xml:space="preserve"> Комбинированный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замка по принципу работы</w:t>
            </w:r>
          </w:p>
        </w:tc>
        <w:tc>
          <w:p>
            <w:pPr/>
            <w:r>
              <w:rPr>
                <w:rFonts w:ascii="Times New Roman" w:hAnsi="Times New Roman" w:eastAsia="Times New Roman" w:cs="Times New Roman"/>
                <w:sz w:val="24"/>
              </w:rPr>
              <w:t xml:space="preserve"> Механический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конструктивного исполнения корпуса</w:t>
            </w:r>
          </w:p>
        </w:tc>
        <w:tc>
          <w:p>
            <w:pPr/>
            <w:r>
              <w:rPr>
                <w:rFonts w:ascii="Times New Roman" w:hAnsi="Times New Roman" w:eastAsia="Times New Roman" w:cs="Times New Roman"/>
                <w:sz w:val="24"/>
              </w:rPr>
              <w:t xml:space="preserve"> Врезной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конструктивного исполнения механизма секретности</w:t>
            </w:r>
          </w:p>
        </w:tc>
        <w:tc>
          <w:p>
            <w:pPr/>
            <w:r>
              <w:rPr>
                <w:rFonts w:ascii="Times New Roman" w:hAnsi="Times New Roman" w:eastAsia="Times New Roman" w:cs="Times New Roman"/>
                <w:sz w:val="24"/>
              </w:rPr>
              <w:t xml:space="preserve"> Цилиндровый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4</w:t>
            </w:r>
          </w:p>
        </w:tc>
        <w:tc>
          <w:tcPr>
            <w:vMerge w:val="restart"/>
          </w:tcPr>
          <w:p>
            <w:pPr/>
            <w:r>
              <w:rPr>
                <w:rFonts w:ascii="Times New Roman" w:hAnsi="Times New Roman" w:eastAsia="Times New Roman" w:cs="Times New Roman"/>
                <w:sz w:val="24"/>
              </w:rPr>
              <w:t xml:space="preserve">22.22.11.190-Мешки и сумки, включая конические, из полимеров этилена прочие/22.22.10.000-00000004-Мешок полимерный/11.109.02.04.01.02.004-Мешок полимерный, полиэтиленый</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Мешки для мусора 30л. Мешки для мусора 30л OfficeClean ПНД, 50*60см, 10мкм, 30шт., прочные, черные, в рулоне</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Вид материала</w:t>
            </w:r>
          </w:p>
        </w:tc>
        <w:tc>
          <w:p>
            <w:pPr/>
            <w:r>
              <w:rPr>
                <w:rFonts w:ascii="Times New Roman" w:hAnsi="Times New Roman" w:eastAsia="Times New Roman" w:cs="Times New Roman"/>
                <w:sz w:val="24"/>
              </w:rPr>
              <w:t xml:space="preserve"> Полиэтилен</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Группа прочности</w:t>
            </w:r>
          </w:p>
        </w:tc>
        <w:tc>
          <w:p>
            <w:pPr/>
            <w:r>
              <w:rPr>
                <w:rFonts w:ascii="Times New Roman" w:hAnsi="Times New Roman" w:eastAsia="Times New Roman" w:cs="Times New Roman"/>
                <w:sz w:val="24"/>
              </w:rPr>
              <w:t xml:space="preserve"> Повышенная</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Назначение</w:t>
            </w:r>
          </w:p>
        </w:tc>
        <w:tc>
          <w:p>
            <w:pPr/>
            <w:r>
              <w:rPr>
                <w:rFonts w:ascii="Times New Roman" w:hAnsi="Times New Roman" w:eastAsia="Times New Roman" w:cs="Times New Roman"/>
                <w:sz w:val="24"/>
              </w:rPr>
              <w:t xml:space="preserve"> Мусорный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Объем мешка для мусора</w:t>
            </w:r>
          </w:p>
        </w:tc>
        <w:tc>
          <w:p>
            <w:pPr/>
            <w:r>
              <w:rPr>
                <w:rFonts w:ascii="Times New Roman" w:hAnsi="Times New Roman" w:eastAsia="Times New Roman" w:cs="Times New Roman"/>
                <w:sz w:val="24"/>
              </w:rPr>
              <w:t xml:space="preserve"> ≥30</w:t>
            </w:r>
          </w:p>
        </w:tc>
        <w:tc>
          <w:p>
            <w:pPr/>
            <w:r>
              <w:rPr>
                <w:rFonts w:ascii="Times New Roman" w:hAnsi="Times New Roman" w:eastAsia="Times New Roman" w:cs="Times New Roman"/>
                <w:sz w:val="24"/>
              </w:rPr>
              <w:t xml:space="preserve">Литр; кубический дециметр</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Толщина материала, мкм</w:t>
            </w:r>
          </w:p>
        </w:tc>
        <w:tc>
          <w:p>
            <w:pPr/>
            <w:r>
              <w:rPr>
                <w:rFonts w:ascii="Times New Roman" w:hAnsi="Times New Roman" w:eastAsia="Times New Roman" w:cs="Times New Roman"/>
                <w:sz w:val="24"/>
              </w:rPr>
              <w:t xml:space="preserve"> &gt; 10≤ 20</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Ширина</w:t>
            </w:r>
          </w:p>
        </w:tc>
        <w:tc>
          <w:p>
            <w:pPr/>
            <w:r>
              <w:rPr>
                <w:rFonts w:ascii="Times New Roman" w:hAnsi="Times New Roman" w:eastAsia="Times New Roman" w:cs="Times New Roman"/>
                <w:sz w:val="24"/>
              </w:rPr>
              <w:t xml:space="preserve"> &gt; 550≤ 600</w:t>
            </w:r>
          </w:p>
        </w:tc>
        <w:tc>
          <w:p>
            <w:pPr/>
            <w:r>
              <w:rPr>
                <w:rFonts w:ascii="Times New Roman" w:hAnsi="Times New Roman" w:eastAsia="Times New Roman" w:cs="Times New Roman"/>
                <w:sz w:val="24"/>
              </w:rPr>
              <w:t xml:space="preserve">Миллиметр</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5</w:t>
            </w:r>
          </w:p>
        </w:tc>
        <w:tc>
          <w:tcPr>
            <w:vMerge w:val="restart"/>
          </w:tcPr>
          <w:p>
            <w:pPr/>
            <w:r>
              <w:rPr>
                <w:rFonts w:ascii="Times New Roman" w:hAnsi="Times New Roman" w:eastAsia="Times New Roman" w:cs="Times New Roman"/>
                <w:sz w:val="24"/>
              </w:rPr>
              <w:t xml:space="preserve">25.72.12.111-Замки врезные из недрагоценных металлов/25.72.12.110-00000003-Замок для дверей/11.109.02.05.01.02.003-Замок для дверей врезной комбинированный</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Завертка ST Cabine-3 Металл диаметр 55мм</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Тип замка (по количеству механизмов секретности в одном корпусе)</w:t>
            </w:r>
          </w:p>
        </w:tc>
        <w:tc>
          <w:p>
            <w:pPr/>
            <w:r>
              <w:rPr>
                <w:rFonts w:ascii="Times New Roman" w:hAnsi="Times New Roman" w:eastAsia="Times New Roman" w:cs="Times New Roman"/>
                <w:sz w:val="24"/>
              </w:rPr>
              <w:t xml:space="preserve"> Комбинированный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замка по принципу работы</w:t>
            </w:r>
          </w:p>
        </w:tc>
        <w:tc>
          <w:p>
            <w:pPr/>
            <w:r>
              <w:rPr>
                <w:rFonts w:ascii="Times New Roman" w:hAnsi="Times New Roman" w:eastAsia="Times New Roman" w:cs="Times New Roman"/>
                <w:sz w:val="24"/>
              </w:rPr>
              <w:t xml:space="preserve"> Механический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конструктивного исполнения корпуса</w:t>
            </w:r>
          </w:p>
        </w:tc>
        <w:tc>
          <w:p>
            <w:pPr/>
            <w:r>
              <w:rPr>
                <w:rFonts w:ascii="Times New Roman" w:hAnsi="Times New Roman" w:eastAsia="Times New Roman" w:cs="Times New Roman"/>
                <w:sz w:val="24"/>
              </w:rPr>
              <w:t xml:space="preserve"> Врезной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конструктивного исполнения механизма секретности</w:t>
            </w:r>
          </w:p>
        </w:tc>
        <w:tc>
          <w:p>
            <w:pPr/>
            <w:r>
              <w:rPr>
                <w:rFonts w:ascii="Times New Roman" w:hAnsi="Times New Roman" w:eastAsia="Times New Roman" w:cs="Times New Roman"/>
                <w:sz w:val="24"/>
              </w:rPr>
              <w:t xml:space="preserve"> Цилиндровый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8</w:t>
            </w:r>
          </w:p>
        </w:tc>
        <w:tc>
          <w:tcPr>
            <w:vMerge w:val="restart"/>
          </w:tcPr>
          <w:p>
            <w:pPr/>
            <w:r>
              <w:rPr>
                <w:rFonts w:ascii="Times New Roman" w:hAnsi="Times New Roman" w:eastAsia="Times New Roman" w:cs="Times New Roman"/>
                <w:sz w:val="24"/>
              </w:rPr>
              <w:t xml:space="preserve">25.72.14.130-Петли, арматура крепежная, фурнитура и аналогичные изделия для мебели из недрагоценных металлов/25.72.14.130-00000030-Фурнитура для мебели металлическая/11.107.02.01.01.01.030-Ручка для мебели металлическая</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Ручка ST-3 Metall (50мм.)</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Металл</w:t>
            </w:r>
          </w:p>
        </w:tc>
        <w:tc>
          <w:p>
            <w:pPr/>
            <w:r>
              <w:rPr>
                <w:rFonts w:ascii="Times New Roman" w:hAnsi="Times New Roman" w:eastAsia="Times New Roman" w:cs="Times New Roman"/>
                <w:sz w:val="24"/>
              </w:rPr>
              <w:t xml:space="preserve"> Сталь</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изделия</w:t>
            </w:r>
          </w:p>
        </w:tc>
        <w:tc>
          <w:p>
            <w:pPr/>
            <w:r>
              <w:rPr>
                <w:rFonts w:ascii="Times New Roman" w:hAnsi="Times New Roman" w:eastAsia="Times New Roman" w:cs="Times New Roman"/>
                <w:sz w:val="24"/>
              </w:rPr>
              <w:t xml:space="preserve"> Ручка</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7</w:t>
            </w:r>
          </w:p>
        </w:tc>
        <w:tc>
          <w:tcPr>
            <w:vMerge w:val="restart"/>
          </w:tcPr>
          <w:p>
            <w:pPr/>
            <w:r>
              <w:rPr>
                <w:rFonts w:ascii="Times New Roman" w:hAnsi="Times New Roman" w:eastAsia="Times New Roman" w:cs="Times New Roman"/>
                <w:sz w:val="24"/>
              </w:rPr>
              <w:t xml:space="preserve">25.72.12.111-Замки врезные из недрагоценных металлов/25.72.12.110-00000003-Замок для дверей/11.109.02.05.01.02.003-Замок для дверей врезной комбинированный</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Замок LAKQ 4040 U2L корпус металлический, с ручками из алюминия, серебристый ZILV</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Тип замка (по количеству механизмов секретности в одном корпусе)</w:t>
            </w:r>
          </w:p>
        </w:tc>
        <w:tc>
          <w:p>
            <w:pPr/>
            <w:r>
              <w:rPr>
                <w:rFonts w:ascii="Times New Roman" w:hAnsi="Times New Roman" w:eastAsia="Times New Roman" w:cs="Times New Roman"/>
                <w:sz w:val="24"/>
              </w:rPr>
              <w:t xml:space="preserve"> Комбинированный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замка по принципу работы</w:t>
            </w:r>
          </w:p>
        </w:tc>
        <w:tc>
          <w:p>
            <w:pPr/>
            <w:r>
              <w:rPr>
                <w:rFonts w:ascii="Times New Roman" w:hAnsi="Times New Roman" w:eastAsia="Times New Roman" w:cs="Times New Roman"/>
                <w:sz w:val="24"/>
              </w:rPr>
              <w:t xml:space="preserve"> Механический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конструктивного исполнения корпуса</w:t>
            </w:r>
          </w:p>
        </w:tc>
        <w:tc>
          <w:p>
            <w:pPr/>
            <w:r>
              <w:rPr>
                <w:rFonts w:ascii="Times New Roman" w:hAnsi="Times New Roman" w:eastAsia="Times New Roman" w:cs="Times New Roman"/>
                <w:sz w:val="24"/>
              </w:rPr>
              <w:t xml:space="preserve"> Врезной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конструктивного исполнения механизма секретности</w:t>
            </w:r>
          </w:p>
        </w:tc>
        <w:tc>
          <w:p>
            <w:pPr/>
            <w:r>
              <w:rPr>
                <w:rFonts w:ascii="Times New Roman" w:hAnsi="Times New Roman" w:eastAsia="Times New Roman" w:cs="Times New Roman"/>
                <w:sz w:val="24"/>
              </w:rPr>
              <w:t xml:space="preserve"> Цилиндровый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6</w:t>
            </w:r>
          </w:p>
        </w:tc>
        <w:tc>
          <w:tcPr>
            <w:vMerge w:val="restart"/>
          </w:tcPr>
          <w:p>
            <w:pPr/>
            <w:r>
              <w:rPr>
                <w:rFonts w:ascii="Times New Roman" w:hAnsi="Times New Roman" w:eastAsia="Times New Roman" w:cs="Times New Roman"/>
                <w:sz w:val="24"/>
              </w:rPr>
              <w:t xml:space="preserve">25.72.12.111-Замки врезные из недрагоценных металлов/25.72.12.110-00000003-Замок для дверей/11.109.02.05.01.02.003-Замок для дверей врезной комбинированный</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Замок LAKQ 6060 U2L корпус металлический, с ручками из алюминия, зеленый RAL 6005</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Тип замка (по количеству механизмов секретности в одном корпусе)</w:t>
            </w:r>
          </w:p>
        </w:tc>
        <w:tc>
          <w:p>
            <w:pPr/>
            <w:r>
              <w:rPr>
                <w:rFonts w:ascii="Times New Roman" w:hAnsi="Times New Roman" w:eastAsia="Times New Roman" w:cs="Times New Roman"/>
                <w:sz w:val="24"/>
              </w:rPr>
              <w:t xml:space="preserve"> Комбинированный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замка по принципу работы</w:t>
            </w:r>
          </w:p>
        </w:tc>
        <w:tc>
          <w:p>
            <w:pPr/>
            <w:r>
              <w:rPr>
                <w:rFonts w:ascii="Times New Roman" w:hAnsi="Times New Roman" w:eastAsia="Times New Roman" w:cs="Times New Roman"/>
                <w:sz w:val="24"/>
              </w:rPr>
              <w:t xml:space="preserve"> Механический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конструктивного исполнения корпуса</w:t>
            </w:r>
          </w:p>
        </w:tc>
        <w:tc>
          <w:p>
            <w:pPr/>
            <w:r>
              <w:rPr>
                <w:rFonts w:ascii="Times New Roman" w:hAnsi="Times New Roman" w:eastAsia="Times New Roman" w:cs="Times New Roman"/>
                <w:sz w:val="24"/>
              </w:rPr>
              <w:t xml:space="preserve"> Врезной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Тип конструктивного исполнения механизма секретности</w:t>
            </w:r>
          </w:p>
        </w:tc>
        <w:tc>
          <w:p>
            <w:pPr/>
            <w:r>
              <w:rPr>
                <w:rFonts w:ascii="Times New Roman" w:hAnsi="Times New Roman" w:eastAsia="Times New Roman" w:cs="Times New Roman"/>
                <w:sz w:val="24"/>
              </w:rPr>
              <w:t xml:space="preserve"> Цилиндровый</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10</w:t>
            </w:r>
          </w:p>
        </w:tc>
        <w:tc>
          <w:tcPr>
            <w:vMerge w:val="restart"/>
          </w:tcPr>
          <w:p>
            <w:pPr/>
            <w:r>
              <w:rPr>
                <w:rFonts w:ascii="Times New Roman" w:hAnsi="Times New Roman" w:eastAsia="Times New Roman" w:cs="Times New Roman"/>
                <w:sz w:val="24"/>
              </w:rPr>
              <w:t xml:space="preserve">25.99.29.190-Изделия прочие из недрагоценных металлов, не включенные в другие группировки/25.99.29.190-00000021-Люк ревизионный сантехнический/11.201.04.01.01.05.002-Люк ревизионный сантехнический</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Люк сантехнический металлический 20x20 с замком</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Габаритные размеры, высота</w:t>
            </w:r>
          </w:p>
        </w:tc>
        <w:tc>
          <w:p>
            <w:pPr/>
            <w:r>
              <w:rPr>
                <w:rFonts w:ascii="Times New Roman" w:hAnsi="Times New Roman" w:eastAsia="Times New Roman" w:cs="Times New Roman"/>
                <w:sz w:val="24"/>
              </w:rPr>
              <w:t xml:space="preserve"> ≥200&lt; 250</w:t>
            </w:r>
          </w:p>
        </w:tc>
        <w:tc>
          <w:p>
            <w:pPr/>
            <w:r>
              <w:rPr>
                <w:rFonts w:ascii="Times New Roman" w:hAnsi="Times New Roman" w:eastAsia="Times New Roman" w:cs="Times New Roman"/>
                <w:sz w:val="24"/>
              </w:rPr>
              <w:t xml:space="preserve">Миллиметр</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Габаритные размеры, ширина</w:t>
            </w:r>
          </w:p>
        </w:tc>
        <w:tc>
          <w:p>
            <w:pPr/>
            <w:r>
              <w:rPr>
                <w:rFonts w:ascii="Times New Roman" w:hAnsi="Times New Roman" w:eastAsia="Times New Roman" w:cs="Times New Roman"/>
                <w:sz w:val="24"/>
              </w:rPr>
              <w:t xml:space="preserve"> ≥200&lt; 250</w:t>
            </w:r>
          </w:p>
        </w:tc>
        <w:tc>
          <w:p>
            <w:pPr/>
            <w:r>
              <w:rPr>
                <w:rFonts w:ascii="Times New Roman" w:hAnsi="Times New Roman" w:eastAsia="Times New Roman" w:cs="Times New Roman"/>
                <w:sz w:val="24"/>
              </w:rPr>
              <w:t xml:space="preserve">Миллиметр</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Основной материал</w:t>
            </w:r>
          </w:p>
        </w:tc>
        <w:tc>
          <w:p>
            <w:pPr/>
            <w:r>
              <w:rPr>
                <w:rFonts w:ascii="Times New Roman" w:hAnsi="Times New Roman" w:eastAsia="Times New Roman" w:cs="Times New Roman"/>
                <w:sz w:val="24"/>
              </w:rPr>
              <w:t xml:space="preserve"> Сталь</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Способ фиксации</w:t>
            </w:r>
          </w:p>
        </w:tc>
        <w:tc>
          <w:p>
            <w:pPr/>
            <w:r>
              <w:rPr>
                <w:rFonts w:ascii="Times New Roman" w:hAnsi="Times New Roman" w:eastAsia="Times New Roman" w:cs="Times New Roman"/>
                <w:sz w:val="24"/>
              </w:rPr>
              <w:t xml:space="preserve"> Замок с ключом</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9</w:t>
            </w:r>
          </w:p>
        </w:tc>
        <w:tc>
          <w:tcPr>
            <w:vMerge w:val="restart"/>
          </w:tcPr>
          <w:p>
            <w:pPr/>
            <w:r>
              <w:rPr>
                <w:rFonts w:ascii="Times New Roman" w:hAnsi="Times New Roman" w:eastAsia="Times New Roman" w:cs="Times New Roman"/>
                <w:sz w:val="24"/>
              </w:rPr>
              <w:t xml:space="preserve">25.99.29.190-Изделия прочие из недрагоценных металлов, не включенные в другие группировки/25.99.29.190-00000021-Люк ревизионный сантехнический/11.201.04.01.01.05.002-Люк ревизионный сантехнический</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Люк сантехнический металлический 30x30 с замком</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Габаритные размеры, высота</w:t>
            </w:r>
          </w:p>
        </w:tc>
        <w:tc>
          <w:p>
            <w:pPr/>
            <w:r>
              <w:rPr>
                <w:rFonts w:ascii="Times New Roman" w:hAnsi="Times New Roman" w:eastAsia="Times New Roman" w:cs="Times New Roman"/>
                <w:sz w:val="24"/>
              </w:rPr>
              <w:t xml:space="preserve"> ≥300&lt; 350</w:t>
            </w:r>
          </w:p>
        </w:tc>
        <w:tc>
          <w:p>
            <w:pPr/>
            <w:r>
              <w:rPr>
                <w:rFonts w:ascii="Times New Roman" w:hAnsi="Times New Roman" w:eastAsia="Times New Roman" w:cs="Times New Roman"/>
                <w:sz w:val="24"/>
              </w:rPr>
              <w:t xml:space="preserve">Миллиметр</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Габаритные размеры, ширина</w:t>
            </w:r>
          </w:p>
        </w:tc>
        <w:tc>
          <w:p>
            <w:pPr/>
            <w:r>
              <w:rPr>
                <w:rFonts w:ascii="Times New Roman" w:hAnsi="Times New Roman" w:eastAsia="Times New Roman" w:cs="Times New Roman"/>
                <w:sz w:val="24"/>
              </w:rPr>
              <w:t xml:space="preserve"> ≥300&lt; 350</w:t>
            </w:r>
          </w:p>
        </w:tc>
        <w:tc>
          <w:p>
            <w:pPr/>
            <w:r>
              <w:rPr>
                <w:rFonts w:ascii="Times New Roman" w:hAnsi="Times New Roman" w:eastAsia="Times New Roman" w:cs="Times New Roman"/>
                <w:sz w:val="24"/>
              </w:rPr>
              <w:t xml:space="preserve">Миллиметр</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Основной материал</w:t>
            </w:r>
          </w:p>
        </w:tc>
        <w:tc>
          <w:p>
            <w:pPr/>
            <w:r>
              <w:rPr>
                <w:rFonts w:ascii="Times New Roman" w:hAnsi="Times New Roman" w:eastAsia="Times New Roman" w:cs="Times New Roman"/>
                <w:sz w:val="24"/>
              </w:rPr>
              <w:t xml:space="preserve"> Сталь</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Способ фиксации</w:t>
            </w:r>
          </w:p>
        </w:tc>
        <w:tc>
          <w:p>
            <w:pPr/>
            <w:r>
              <w:rPr>
                <w:rFonts w:ascii="Times New Roman" w:hAnsi="Times New Roman" w:eastAsia="Times New Roman" w:cs="Times New Roman"/>
                <w:sz w:val="24"/>
              </w:rPr>
              <w:t xml:space="preserve"> Замок с ключом</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r>
        <w:tc>
          <w:tcPr>
            <w:vMerge w:val="restart"/>
          </w:tcPr>
          <w:p>
            <w:pPr/>
            <w:r>
              <w:rPr>
                <w:rFonts w:ascii="Times New Roman" w:hAnsi="Times New Roman" w:eastAsia="Times New Roman" w:cs="Times New Roman"/>
                <w:sz w:val="24"/>
              </w:rPr>
              <w:t xml:space="preserve">11</w:t>
            </w:r>
          </w:p>
        </w:tc>
        <w:tc>
          <w:tcPr>
            <w:vMerge w:val="restart"/>
          </w:tcPr>
          <w:p>
            <w:pPr/>
            <w:r>
              <w:rPr>
                <w:rFonts w:ascii="Times New Roman" w:hAnsi="Times New Roman" w:eastAsia="Times New Roman" w:cs="Times New Roman"/>
                <w:sz w:val="24"/>
              </w:rPr>
              <w:t xml:space="preserve">25.99.29.190-Изделия прочие из недрагоценных металлов, не включенные в другие группировки/25.99.29.190-00000021-Люк ревизионный сантехнический/11.201.04.01.01.05.002-Люк ревизионный сантехнический</w:t>
            </w:r>
          </w:p>
        </w:tc>
        <w:tc>
          <w:tcPr>
            <w:vMerge w:val="restart"/>
          </w:tcPr>
          <w:p>
            <w:pPr/>
            <w:r>
              <w:rPr>
                <w:rFonts w:ascii="Times New Roman" w:hAnsi="Times New Roman" w:eastAsia="Times New Roman" w:cs="Times New Roman"/>
                <w:sz w:val="24"/>
              </w:rPr>
              <w:t xml:space="preserve">Нет</w:t>
            </w:r>
          </w:p>
        </w:tc>
        <w:tc>
          <w:tcPr>
            <w:vMerge w:val="restart"/>
          </w:tcPr>
          <w:p>
            <w:pPr/>
            <w:r>
              <w:rPr>
                <w:rFonts w:ascii="Times New Roman" w:hAnsi="Times New Roman" w:eastAsia="Times New Roman" w:cs="Times New Roman"/>
                <w:sz w:val="24"/>
              </w:rPr>
              <w:t xml:space="preserve">Люк сантехнический металлический 15x15 с замком</w:t>
            </w:r>
          </w:p>
        </w:tc>
        <w:tc>
          <w:tcPr>
            <w:vMerge w:val="restart"/>
          </w:tcPr>
          <w:p>
            <w:pPr/>
            <w:r>
              <w:rPr>
                <w:rFonts w:ascii="Times New Roman" w:hAnsi="Times New Roman" w:eastAsia="Times New Roman" w:cs="Times New Roman"/>
                <w:sz w:val="24"/>
              </w:rPr>
              <w:t xml:space="preserve"/>
            </w:r>
          </w:p>
        </w:tc>
        <w:tc>
          <w:p>
            <w:pPr/>
            <w:r>
              <w:rPr>
                <w:rFonts w:ascii="Times New Roman" w:hAnsi="Times New Roman" w:eastAsia="Times New Roman" w:cs="Times New Roman"/>
                <w:sz w:val="24"/>
              </w:rPr>
              <w:t xml:space="preserve">Габаритные размеры, высота</w:t>
            </w:r>
          </w:p>
        </w:tc>
        <w:tc>
          <w:p>
            <w:pPr/>
            <w:r>
              <w:rPr>
                <w:rFonts w:ascii="Times New Roman" w:hAnsi="Times New Roman" w:eastAsia="Times New Roman" w:cs="Times New Roman"/>
                <w:sz w:val="24"/>
              </w:rPr>
              <w:t xml:space="preserve"> ≥150&lt; 200</w:t>
            </w:r>
          </w:p>
        </w:tc>
        <w:tc>
          <w:p>
            <w:pPr/>
            <w:r>
              <w:rPr>
                <w:rFonts w:ascii="Times New Roman" w:hAnsi="Times New Roman" w:eastAsia="Times New Roman" w:cs="Times New Roman"/>
                <w:sz w:val="24"/>
              </w:rPr>
              <w:t xml:space="preserve">Миллиметр</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Габаритные размеры, ширина</w:t>
            </w:r>
          </w:p>
        </w:tc>
        <w:tc>
          <w:p>
            <w:pPr/>
            <w:r>
              <w:rPr>
                <w:rFonts w:ascii="Times New Roman" w:hAnsi="Times New Roman" w:eastAsia="Times New Roman" w:cs="Times New Roman"/>
                <w:sz w:val="24"/>
              </w:rPr>
              <w:t xml:space="preserve"> ≥150&lt; 200</w:t>
            </w:r>
          </w:p>
        </w:tc>
        <w:tc>
          <w:p>
            <w:pPr/>
            <w:r>
              <w:rPr>
                <w:rFonts w:ascii="Times New Roman" w:hAnsi="Times New Roman" w:eastAsia="Times New Roman" w:cs="Times New Roman"/>
                <w:sz w:val="24"/>
              </w:rPr>
              <w:t xml:space="preserve">Миллиметр</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Основной материал</w:t>
            </w:r>
          </w:p>
        </w:tc>
        <w:tc>
          <w:p>
            <w:pPr/>
            <w:r>
              <w:rPr>
                <w:rFonts w:ascii="Times New Roman" w:hAnsi="Times New Roman" w:eastAsia="Times New Roman" w:cs="Times New Roman"/>
                <w:sz w:val="24"/>
              </w:rPr>
              <w:t xml:space="preserve"> Сталь</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p>
            <w:pPr/>
            <w:r>
              <w:rPr>
                <w:rFonts w:ascii="Times New Roman" w:hAnsi="Times New Roman" w:eastAsia="Times New Roman" w:cs="Times New Roman"/>
                <w:sz w:val="24"/>
              </w:rPr>
              <w:t xml:space="preserve">Способ фиксации</w:t>
            </w:r>
          </w:p>
        </w:tc>
        <w:tc>
          <w:p>
            <w:pPr/>
            <w:r>
              <w:rPr>
                <w:rFonts w:ascii="Times New Roman" w:hAnsi="Times New Roman" w:eastAsia="Times New Roman" w:cs="Times New Roman"/>
                <w:sz w:val="24"/>
              </w:rPr>
              <w:t xml:space="preserve"> Замок с ключом</w:t>
            </w:r>
          </w:p>
        </w:tc>
        <w:tc>
          <w:p>
            <w:pPr/>
            <w:r>
              <w:rPr>
                <w:rFonts w:ascii="Times New Roman" w:hAnsi="Times New Roman" w:eastAsia="Times New Roman" w:cs="Times New Roman"/>
                <w:sz w:val="24"/>
              </w:rPr>
              <w:t xml:space="preserve">-</w:t>
            </w:r>
          </w:p>
        </w:tc>
      </w:tr>
      <w:tr>
        <w:tc>
          <w:tcPr>
            <w:vMerge/>
          </w:tcPr>
          <w:p>
            <w:r>
              <w:rPr/>
            </w:r>
          </w:p>
        </w:tc>
        <w:tc>
          <w:tcPr>
            <w:vMerge/>
          </w:tcPr>
          <w:p>
            <w:r>
              <w:rPr/>
            </w:r>
          </w:p>
        </w:tc>
        <w:tc>
          <w:tcPr>
            <w:vMerge/>
          </w:tcPr>
          <w:p>
            <w:r>
              <w:rPr/>
            </w:r>
          </w:p>
        </w:tc>
        <w:tc>
          <w:tcPr>
            <w:vMerge/>
          </w:tcPr>
          <w:p>
            <w:r>
              <w:rPr/>
            </w:r>
          </w:p>
        </w:tc>
        <w:tc>
          <w:tcPr>
            <w:vMerge/>
          </w:tcPr>
          <w:p>
            <w:r>
              <w:rPr/>
            </w:r>
          </w:p>
        </w:tc>
        <w:tc>
          <w:tcPr>
            <w:gridSpan w:val="6"/>
          </w:tcPr>
          <w:p>
            <w:pPr/>
            <w:r>
              <w:rPr>
                <w:rFonts w:ascii="Times New Roman" w:hAnsi="Times New Roman" w:eastAsia="Times New Roman" w:cs="Times New Roman"/>
                <w:sz w:val="24"/>
              </w:rPr>
              <w:t xml:space="preserve">Дополнительные характеристики</w:t>
            </w:r>
          </w:p>
        </w:tc>
      </w:tr>
    </w:tbl>
    <w:p w:rsidRPr="001B5FCF" w:rsidR="00E6497D" w:rsidP="00E16397" w:rsidRDefault="00E6497D" w14:paraId="48A4626F" w14:textId="77777777">
      <w:pPr>
        <w:pStyle w:val="ConsPlusNormal"/>
        <w:ind w:firstLine="540"/>
        <w:jc w:val="center"/>
        <w:rPr>
          <w:b/>
          <w:color w:val="000000" w:themeColor="text1"/>
          <w:spacing w:val="-2"/>
        </w:rPr>
      </w:pPr>
    </w:p>
    <w:p w:rsidR="007466B2" w:rsidRDefault="00E6497D" w14:paraId="3D56ACE6" w14:textId="1AFFA7FE">
      <w:pPr>
        <w:rPr>
          <w:b/>
          <w:color w:val="000000" w:themeColor="text1"/>
          <w:spacing w:val="-2"/>
        </w:rPr>
      </w:pPr>
      <w:r>
        <w:rPr>
          <w:b/>
          <w:color w:val="000000" w:themeColor="text1"/>
          <w:spacing w:val="-2"/>
        </w:rPr>
        <w:br w:type="page"/>
      </w:r>
      <w:bookmarkStart w:name="Characteristic" w:id="1"/>
      <w:bookmarkEnd w:id="1"/>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4"/>
              </w:rPr>
              <w:t xml:space="preserve">Технические регламенты, принятые в соответствии с законодательством Российской Федерации о техническом регулировании, документы, разрабатываемые и применяемые в национальной системе стандартизации, принятыми в соответствии с законодательством Российской Федерации о стандартизации</w:t>
            </w:r>
          </w:p>
        </w:tc>
        <w:tc>
          <w:tcPr>
            <w:gridSpan w:val="2"/>
          </w:tcPr>
          <w:p/>
        </w:tc>
      </w:tr>
      <w:tr>
        <w:tc>
          <w:tcPr>
            <w:vMerge w:val="restart"/>
          </w:tcPr>
          <w:p>
            <w:pPr/>
            <w:r>
              <w:rPr>
                <w:rFonts w:ascii="Times New Roman" w:hAnsi="Times New Roman" w:eastAsia="Times New Roman" w:cs="Times New Roman"/>
                <w:sz w:val="24"/>
              </w:rPr>
              <w:t xml:space="preserve">Обоснование применения дополнительных характеристик</w:t>
            </w:r>
          </w:p>
        </w:tc>
        <w:tc>
          <w:tcPr>
            <w:vMerge w:val="restart"/>
          </w:tcPr>
          <w:p>
            <w:pPr/>
            <w:r>
              <w:rPr>
                <w:rFonts w:ascii="Times New Roman" w:hAnsi="Times New Roman" w:eastAsia="Times New Roman" w:cs="Times New Roman"/>
                <w:sz w:val="24"/>
              </w:rPr>
              <w:t xml:space="preserve">№ п/п 1</w:t>
            </w:r>
          </w:p>
        </w:tc>
        <w:tc>
          <w:tcPr>
            <w:gridSpan w:val="2"/>
            <w:vMerge w:val="restart"/>
          </w:tcPr>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2</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3</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4</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5</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8</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7</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6</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10</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9</w:t>
            </w:r>
          </w:p>
        </w:tc>
        <w:tc>
          <w:p>
            <w:pPr/>
            <w:r>
              <w:rPr>
                <w:rFonts w:ascii="Times New Roman" w:hAnsi="Times New Roman" w:eastAsia="Times New Roman" w:cs="Times New Roman"/>
                <w:sz w:val="24"/>
              </w:rPr>
              <w:t xml:space="preserve"/>
              <w:br/>
              <w:t xml:space="preserve"/>
            </w:r>
          </w:p>
        </w:tc>
      </w:tr>
      <w:tr>
        <w:tc>
          <w:tcPr>
            <w:vMerge/>
          </w:tcPr>
          <w:p>
            <w:r>
              <w:rPr/>
            </w:r>
          </w:p>
        </w:tc>
        <w:tc>
          <w:p>
            <w:pPr/>
            <w:r>
              <w:rPr>
                <w:rFonts w:ascii="Times New Roman" w:hAnsi="Times New Roman" w:eastAsia="Times New Roman" w:cs="Times New Roman"/>
                <w:sz w:val="24"/>
              </w:rPr>
              <w:t xml:space="preserve">№ п/п 11</w:t>
            </w:r>
          </w:p>
        </w:tc>
        <w:tc>
          <w:p>
            <w:pPr/>
            <w:r>
              <w:rPr>
                <w:rFonts w:ascii="Times New Roman" w:hAnsi="Times New Roman" w:eastAsia="Times New Roman" w:cs="Times New Roman"/>
                <w:sz w:val="24"/>
              </w:rPr>
              <w:t xml:space="preserve"/>
              <w:br/>
              <w:t xml:space="preserve"/>
            </w:r>
          </w:p>
        </w:tc>
      </w:tr>
    </w:tbl>
    <w:p w:rsidR="007466B2" w:rsidRDefault="007466B2" w14:paraId="5CDC6AB4" w14:textId="77777777">
      <w:pPr>
        <w:rPr>
          <w:b/>
          <w:color w:val="000000" w:themeColor="text1"/>
          <w:spacing w:val="-2"/>
        </w:rPr>
      </w:pPr>
    </w:p>
    <w:p w:rsidR="007466B2" w:rsidRDefault="007466B2" w14:paraId="7B94EAC6" w14:textId="72EC8B85">
      <w:pPr>
        <w:rPr>
          <w:b/>
          <w:color w:val="000000" w:themeColor="text1"/>
          <w:spacing w:val="-2"/>
        </w:rPr>
      </w:pPr>
      <w:r>
        <w:rPr>
          <w:b/>
          <w:color w:val="000000" w:themeColor="text1"/>
          <w:spacing w:val="-2"/>
        </w:rPr>
        <w:br w:type="page"/>
      </w:r>
    </w:p>
    <w:p w:rsidR="005D57C8" w:rsidP="00512F19" w:rsidRDefault="005D57C8" w14:paraId="493161A7" w14:textId="0F975427">
      <w:pPr>
        <w:pStyle w:val="ConsPlusNormal"/>
        <w:rPr>
          <w:b/>
          <w:color w:val="000000" w:themeColor="text1"/>
          <w:spacing w:val="-2"/>
        </w:rPr>
      </w:pPr>
    </w:p>
    <w:p w:rsidR="00A52B17" w:rsidP="00A52B17" w:rsidRDefault="00A52B17" w14:paraId="28D383B8" w14:textId="77777777">
      <w:pPr>
        <w:pStyle w:val="ConsPlusNormal"/>
        <w:ind w:firstLine="540"/>
        <w:jc w:val="right"/>
        <w:rPr>
          <w:color w:val="000000" w:themeColor="text1"/>
        </w:rPr>
      </w:pPr>
      <w:r>
        <w:rPr>
          <w:color w:val="000000" w:themeColor="text1"/>
        </w:rPr>
        <w:t xml:space="preserve">Приложение № 2 </w:t>
      </w:r>
    </w:p>
    <w:p w:rsidR="00A52B17" w:rsidP="00A52B17" w:rsidRDefault="00A52B17" w14:paraId="5570DFF1" w14:textId="644E954C">
      <w:pPr>
        <w:pStyle w:val="ConsPlusNormal"/>
        <w:ind w:firstLine="540"/>
        <w:jc w:val="right"/>
        <w:rPr>
          <w:color w:val="000000" w:themeColor="text1"/>
        </w:rPr>
      </w:pPr>
      <w:r>
        <w:rPr>
          <w:color w:val="000000" w:themeColor="text1"/>
        </w:rPr>
        <w:t>к Описанию объекта закупки</w:t>
      </w:r>
    </w:p>
    <w:p w:rsidR="00A52B17" w:rsidP="00A52B17" w:rsidRDefault="00A52B17" w14:paraId="35C26E8F" w14:textId="77777777">
      <w:pPr>
        <w:pStyle w:val="ConsPlusNormal"/>
        <w:ind w:firstLine="540"/>
        <w:jc w:val="both"/>
        <w:rPr>
          <w:color w:val="000000" w:themeColor="text1"/>
        </w:rPr>
      </w:pPr>
      <w:bookmarkStart w:name="Application2" w:id="2"/>
      <w:bookmarkEnd w:id="2"/>
    </w:p>
    <w:tbl>
      <w:tblPr>
        <w:tblBorders>
          <w:top w:val="single"/>
          <w:left w:val="single"/>
          <w:bottom w:val="single"/>
          <w:right w:val="single"/>
          <w:insideH w:val="single"/>
          <w:insideV w:val="single"/>
        </w:tblBorders>
        <w:tblW w:w="5000" w:type="pct"/>
        <w:tblLayout w:type="autofit"/>
        <w:tblInd w:w="0" w:type="dxa"/>
      </w:tblPr>
      <w:tr>
        <w:tc>
          <w:tcPr>
            <w:vMerge w:val="restart"/>
          </w:tcPr>
          <w:p>
            <w:pPr/>
            <w:r>
              <w:rPr>
                <w:rFonts w:ascii="Times New Roman" w:hAnsi="Times New Roman" w:eastAsia="Times New Roman" w:cs="Times New Roman"/>
                <w:sz w:val="24"/>
              </w:rPr>
              <w:t xml:space="preserve">№ п/п</w:t>
            </w:r>
          </w:p>
        </w:tc>
        <w:tc>
          <w:tcPr>
            <w:vMerge w:val="restart"/>
          </w:tcPr>
          <w:p>
            <w:pPr/>
            <w:r>
              <w:rPr>
                <w:rFonts w:ascii="Times New Roman" w:hAnsi="Times New Roman" w:eastAsia="Times New Roman" w:cs="Times New Roman"/>
                <w:sz w:val="24"/>
              </w:rPr>
              <w:t xml:space="preserve">ОКПД2/КТРУ</w:t>
            </w:r>
          </w:p>
        </w:tc>
        <w:tc>
          <w:tcPr>
            <w:vMerge w:val="restart"/>
          </w:tcPr>
          <w:p>
            <w:pPr/>
            <w:r>
              <w:rPr>
                <w:rFonts w:ascii="Times New Roman" w:hAnsi="Times New Roman" w:eastAsia="Times New Roman" w:cs="Times New Roman"/>
                <w:sz w:val="24"/>
              </w:rPr>
              <w:t xml:space="preserve">Требование к сроку годности:</w:t>
            </w:r>
          </w:p>
        </w:tc>
        <w:tc>
          <w:tcPr>
            <w:vMerge w:val="restart"/>
          </w:tcPr>
          <w:p>
            <w:pPr/>
            <w:r>
              <w:rPr>
                <w:rFonts w:ascii="Times New Roman" w:hAnsi="Times New Roman" w:eastAsia="Times New Roman" w:cs="Times New Roman"/>
                <w:sz w:val="24"/>
              </w:rPr>
              <w:t xml:space="preserve">Требование к доли вторичного сырья  (Постановление Правительства РФ от 08.07.2022 № 1224 "Об особенностях описания отдельных видов товаров, являющихся объектом закупки для обеспечения государственных и муниципальных нужд, при закупках которых предъявляются экологические требования")</w:t>
            </w:r>
          </w:p>
        </w:tc>
      </w:tr>
      <w:tr>
        <w:tc>
          <w:p>
            <w:pPr/>
            <w:r>
              <w:rPr>
                <w:rFonts w:ascii="Times New Roman" w:hAnsi="Times New Roman" w:eastAsia="Times New Roman" w:cs="Times New Roman"/>
                <w:sz w:val="24"/>
              </w:rPr>
              <w:t xml:space="preserve">1</w:t>
            </w:r>
          </w:p>
        </w:tc>
        <w:tc>
          <w:p>
            <w:pPr/>
            <w:r>
              <w:rPr>
                <w:rFonts w:ascii="Times New Roman" w:hAnsi="Times New Roman" w:eastAsia="Times New Roman" w:cs="Times New Roman"/>
                <w:sz w:val="24"/>
              </w:rPr>
              <w:t xml:space="preserve">2</w:t>
            </w:r>
          </w:p>
        </w:tc>
        <w:tc>
          <w:p>
            <w:pPr/>
            <w:r>
              <w:rPr>
                <w:rFonts w:ascii="Times New Roman" w:hAnsi="Times New Roman" w:eastAsia="Times New Roman" w:cs="Times New Roman"/>
                <w:sz w:val="24"/>
              </w:rPr>
              <w:t xml:space="preserve">3</w:t>
            </w:r>
          </w:p>
        </w:tc>
        <w:tc>
          <w:p>
            <w:pPr/>
            <w:r>
              <w:rPr>
                <w:rFonts w:ascii="Times New Roman" w:hAnsi="Times New Roman" w:eastAsia="Times New Roman" w:cs="Times New Roman"/>
                <w:sz w:val="24"/>
              </w:rPr>
              <w:t xml:space="preserve">4</w:t>
            </w:r>
          </w:p>
        </w:tc>
      </w:tr>
      <w:tr>
        <w:tc>
          <w:tcPr>
            <w:vMerge w:val="restart"/>
          </w:tcPr>
          <w:p>
            <w:pPr/>
            <w:r>
              <w:rPr>
                <w:rFonts w:ascii="Times New Roman" w:hAnsi="Times New Roman" w:eastAsia="Times New Roman" w:cs="Times New Roman"/>
                <w:sz w:val="24"/>
              </w:rPr>
              <w:t xml:space="preserve">1</w:t>
            </w:r>
          </w:p>
        </w:tc>
        <w:tc>
          <w:tcPr>
            <w:vMerge w:val="restart"/>
          </w:tcPr>
          <w:p>
            <w:pPr/>
            <w:r>
              <w:rPr>
                <w:rFonts w:ascii="Times New Roman" w:hAnsi="Times New Roman" w:eastAsia="Times New Roman" w:cs="Times New Roman"/>
                <w:sz w:val="24"/>
              </w:rPr>
              <w:t xml:space="preserve">25.99.29.190-Изделия прочие из недрагоценных металлов, не включенные в другие группировки/-</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2</w:t>
            </w:r>
          </w:p>
        </w:tc>
        <w:tc>
          <w:tcPr>
            <w:vMerge w:val="restart"/>
          </w:tcPr>
          <w:p>
            <w:pPr/>
            <w:r>
              <w:rPr>
                <w:rFonts w:ascii="Times New Roman" w:hAnsi="Times New Roman" w:eastAsia="Times New Roman" w:cs="Times New Roman"/>
                <w:sz w:val="24"/>
              </w:rPr>
              <w:t xml:space="preserve">31.09.11.120-Стеллажи, стойки, вешалки металлические/31.09.11.120-00000003-Вешалка металлическая</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3</w:t>
            </w:r>
          </w:p>
        </w:tc>
        <w:tc>
          <w:tcPr>
            <w:vMerge w:val="restart"/>
          </w:tcPr>
          <w:p>
            <w:pPr/>
            <w:r>
              <w:rPr>
                <w:rFonts w:ascii="Times New Roman" w:hAnsi="Times New Roman" w:eastAsia="Times New Roman" w:cs="Times New Roman"/>
                <w:sz w:val="24"/>
              </w:rPr>
              <w:t xml:space="preserve">25.72.12.111-Замки врезные из недрагоценных металлов/25.72.12.110-00000003-Замок для дверей</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4</w:t>
            </w:r>
          </w:p>
        </w:tc>
        <w:tc>
          <w:tcPr>
            <w:vMerge w:val="restart"/>
          </w:tcPr>
          <w:p>
            <w:pPr/>
            <w:r>
              <w:rPr>
                <w:rFonts w:ascii="Times New Roman" w:hAnsi="Times New Roman" w:eastAsia="Times New Roman" w:cs="Times New Roman"/>
                <w:sz w:val="24"/>
              </w:rPr>
              <w:t xml:space="preserve">22.22.11.190-Мешки и сумки, включая конические, из полимеров этилена прочие/22.22.10.000-00000004-Мешок полимерный</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5</w:t>
            </w:r>
          </w:p>
        </w:tc>
        <w:tc>
          <w:tcPr>
            <w:vMerge w:val="restart"/>
          </w:tcPr>
          <w:p>
            <w:pPr/>
            <w:r>
              <w:rPr>
                <w:rFonts w:ascii="Times New Roman" w:hAnsi="Times New Roman" w:eastAsia="Times New Roman" w:cs="Times New Roman"/>
                <w:sz w:val="24"/>
              </w:rPr>
              <w:t xml:space="preserve">25.72.12.111-Замки врезные из недрагоценных металлов/25.72.12.110-00000003-Замок для дверей</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8</w:t>
            </w:r>
          </w:p>
        </w:tc>
        <w:tc>
          <w:tcPr>
            <w:vMerge w:val="restart"/>
          </w:tcPr>
          <w:p>
            <w:pPr/>
            <w:r>
              <w:rPr>
                <w:rFonts w:ascii="Times New Roman" w:hAnsi="Times New Roman" w:eastAsia="Times New Roman" w:cs="Times New Roman"/>
                <w:sz w:val="24"/>
              </w:rPr>
              <w:t xml:space="preserve">25.72.14.130-Петли, арматура крепежная, фурнитура и аналогичные изделия для мебели из недрагоценных металлов/25.72.14.130-00000030-Фурнитура для мебели металлическая</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7</w:t>
            </w:r>
          </w:p>
        </w:tc>
        <w:tc>
          <w:tcPr>
            <w:vMerge w:val="restart"/>
          </w:tcPr>
          <w:p>
            <w:pPr/>
            <w:r>
              <w:rPr>
                <w:rFonts w:ascii="Times New Roman" w:hAnsi="Times New Roman" w:eastAsia="Times New Roman" w:cs="Times New Roman"/>
                <w:sz w:val="24"/>
              </w:rPr>
              <w:t xml:space="preserve">25.72.12.111-Замки врезные из недрагоценных металлов/25.72.12.110-00000003-Замок для дверей</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6</w:t>
            </w:r>
          </w:p>
        </w:tc>
        <w:tc>
          <w:tcPr>
            <w:vMerge w:val="restart"/>
          </w:tcPr>
          <w:p>
            <w:pPr/>
            <w:r>
              <w:rPr>
                <w:rFonts w:ascii="Times New Roman" w:hAnsi="Times New Roman" w:eastAsia="Times New Roman" w:cs="Times New Roman"/>
                <w:sz w:val="24"/>
              </w:rPr>
              <w:t xml:space="preserve">25.72.12.111-Замки врезные из недрагоценных металлов/25.72.12.110-00000003-Замок для дверей</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10</w:t>
            </w:r>
          </w:p>
        </w:tc>
        <w:tc>
          <w:tcPr>
            <w:vMerge w:val="restart"/>
          </w:tcPr>
          <w:p>
            <w:pPr/>
            <w:r>
              <w:rPr>
                <w:rFonts w:ascii="Times New Roman" w:hAnsi="Times New Roman" w:eastAsia="Times New Roman" w:cs="Times New Roman"/>
                <w:sz w:val="24"/>
              </w:rPr>
              <w:t xml:space="preserve">25.99.29.190-Изделия прочие из недрагоценных металлов, не включенные в другие группировки/25.99.29.190-00000021-Люк ревизионный сантехнический</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9</w:t>
            </w:r>
          </w:p>
        </w:tc>
        <w:tc>
          <w:tcPr>
            <w:vMerge w:val="restart"/>
          </w:tcPr>
          <w:p>
            <w:pPr/>
            <w:r>
              <w:rPr>
                <w:rFonts w:ascii="Times New Roman" w:hAnsi="Times New Roman" w:eastAsia="Times New Roman" w:cs="Times New Roman"/>
                <w:sz w:val="24"/>
              </w:rPr>
              <w:t xml:space="preserve">25.99.29.190-Изделия прочие из недрагоценных металлов, не включенные в другие группировки/25.99.29.190-00000021-Люк ревизионный сантехнический</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r>
        <w:tc>
          <w:tcPr>
            <w:vMerge w:val="restart"/>
          </w:tcPr>
          <w:p>
            <w:pPr/>
            <w:r>
              <w:rPr>
                <w:rFonts w:ascii="Times New Roman" w:hAnsi="Times New Roman" w:eastAsia="Times New Roman" w:cs="Times New Roman"/>
                <w:sz w:val="24"/>
              </w:rPr>
              <w:t xml:space="preserve">11</w:t>
            </w:r>
          </w:p>
        </w:tc>
        <w:tc>
          <w:tcPr>
            <w:vMerge w:val="restart"/>
          </w:tcPr>
          <w:p>
            <w:pPr/>
            <w:r>
              <w:rPr>
                <w:rFonts w:ascii="Times New Roman" w:hAnsi="Times New Roman" w:eastAsia="Times New Roman" w:cs="Times New Roman"/>
                <w:sz w:val="24"/>
              </w:rPr>
              <w:t xml:space="preserve">25.99.29.190-Изделия прочие из недрагоценных металлов, не включенные в другие группировки/25.99.29.190-00000021-Люк ревизионный сантехнический</w:t>
            </w:r>
          </w:p>
        </w:tc>
        <w:tc>
          <w:tcPr>
            <w:vMerge w:val="restart"/>
          </w:tcPr>
          <w:p>
            <w:pPr/>
            <w:r>
              <w:rPr>
                <w:rFonts w:ascii="Times New Roman" w:hAnsi="Times New Roman" w:eastAsia="Times New Roman" w:cs="Times New Roman"/>
                <w:sz w:val="24"/>
              </w:rPr>
              <w:t xml:space="preserve">Не установлено</w:t>
              <w:br/>
              <w:t xml:space="preserve"/>
            </w:r>
          </w:p>
        </w:tc>
        <w:tc>
          <w:tcPr>
            <w:vMerge w:val="restart"/>
          </w:tcPr>
          <w:p>
            <w:pPr/>
            <w:r>
              <w:rPr>
                <w:rFonts w:ascii="Times New Roman" w:hAnsi="Times New Roman" w:eastAsia="Times New Roman" w:cs="Times New Roman"/>
                <w:sz w:val="24"/>
              </w:rPr>
              <w:t xml:space="preserve">Не установлено</w:t>
              <w:br/>
              <w:t xml:space="preserve"/>
            </w:r>
          </w:p>
        </w:tc>
      </w:tr>
    </w:tbl>
    <w:p w:rsidRPr="00B6415A" w:rsidR="00F26B4F" w:rsidP="00B6415A" w:rsidRDefault="00F26B4F" w14:paraId="6542E2C4" w14:textId="2ED06E03">
      <w:pPr>
        <w:rPr>
          <w:rFonts w:ascii="Times New Roman" w:hAnsi="Times New Roman" w:cs="Times New Roman" w:eastAsiaTheme="minorEastAsia"/>
          <w:b/>
          <w:color w:val="000000" w:themeColor="text1"/>
          <w:spacing w:val="-2"/>
          <w:sz w:val="24"/>
          <w:szCs w:val="24"/>
          <w:lang w:eastAsia="ru-RU"/>
        </w:rPr>
      </w:pPr>
      <w:bookmarkStart w:name="_GoBack" w:id="3"/>
      <w:bookmarkEnd w:id="3"/>
    </w:p>
    <w:sectPr w:rsidRPr="00B6415A" w:rsidR="00F26B4F" w:rsidSect="00E215B3">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D90B3" w14:textId="77777777" w:rsidR="00C346A3" w:rsidRDefault="00C346A3" w:rsidP="002D2879">
      <w:pPr>
        <w:spacing w:after="0" w:line="240" w:lineRule="auto"/>
      </w:pPr>
      <w:r>
        <w:separator/>
      </w:r>
    </w:p>
  </w:endnote>
  <w:endnote w:type="continuationSeparator" w:id="0">
    <w:p w14:paraId="2AA1FF9B" w14:textId="77777777" w:rsidR="00C346A3" w:rsidRDefault="00C346A3" w:rsidP="002D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FF7AB" w14:textId="77777777" w:rsidR="00C346A3" w:rsidRDefault="00C346A3" w:rsidP="002D2879">
      <w:pPr>
        <w:spacing w:after="0" w:line="240" w:lineRule="auto"/>
      </w:pPr>
      <w:r>
        <w:separator/>
      </w:r>
    </w:p>
  </w:footnote>
  <w:footnote w:type="continuationSeparator" w:id="0">
    <w:p w14:paraId="60A89404" w14:textId="77777777" w:rsidR="00C346A3" w:rsidRDefault="00C346A3" w:rsidP="002D2879">
      <w:pPr>
        <w:spacing w:after="0" w:line="240" w:lineRule="auto"/>
      </w:pPr>
      <w:r>
        <w:continuationSeparator/>
      </w:r>
    </w:p>
  </w:footnote>
</w:footnotes>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BDE68" w14:textId="28057255" w:rsidR="002D2879" w:rsidRPr="002D2879" w:rsidRDefault="002D2879" w:rsidP="002D2879">
    <w:pPr>
      <w:pStyle w:val="a4"/>
      <w:jc w:val="center"/>
      <w:rPr>
        <w:rFonts w:ascii="Times New Roman" w:hAnsi="Times New Roman" w:cs="Times New Roman"/>
        <w:b/>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1277EB"/>
    <w:multiLevelType w:val="hybridMultilevel"/>
    <w:tmpl w:val="9F1430B8"/>
    <w:lvl w:ilvl="0" w:tplc="93C461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749"/>
    <w:rsid w:val="000154B8"/>
    <w:rsid w:val="00095B32"/>
    <w:rsid w:val="000A7333"/>
    <w:rsid w:val="000B21B2"/>
    <w:rsid w:val="000D0414"/>
    <w:rsid w:val="000D05B1"/>
    <w:rsid w:val="000E0E8F"/>
    <w:rsid w:val="001119F6"/>
    <w:rsid w:val="00125A12"/>
    <w:rsid w:val="00125ACB"/>
    <w:rsid w:val="00167A93"/>
    <w:rsid w:val="00174B2A"/>
    <w:rsid w:val="0017634C"/>
    <w:rsid w:val="00183CA5"/>
    <w:rsid w:val="00193F59"/>
    <w:rsid w:val="00195CDA"/>
    <w:rsid w:val="001B27DB"/>
    <w:rsid w:val="001B5D3B"/>
    <w:rsid w:val="001B5FCF"/>
    <w:rsid w:val="001D5BEA"/>
    <w:rsid w:val="001E188E"/>
    <w:rsid w:val="001F3F2F"/>
    <w:rsid w:val="001F4217"/>
    <w:rsid w:val="002177C0"/>
    <w:rsid w:val="00223223"/>
    <w:rsid w:val="00285B91"/>
    <w:rsid w:val="002C3855"/>
    <w:rsid w:val="002C3898"/>
    <w:rsid w:val="002D1912"/>
    <w:rsid w:val="002D2879"/>
    <w:rsid w:val="002E1F95"/>
    <w:rsid w:val="002F014A"/>
    <w:rsid w:val="002F6CE5"/>
    <w:rsid w:val="00310BFC"/>
    <w:rsid w:val="00337B76"/>
    <w:rsid w:val="003575B0"/>
    <w:rsid w:val="00394194"/>
    <w:rsid w:val="003A4834"/>
    <w:rsid w:val="003D6D27"/>
    <w:rsid w:val="0040012C"/>
    <w:rsid w:val="004148FA"/>
    <w:rsid w:val="00446580"/>
    <w:rsid w:val="004D0242"/>
    <w:rsid w:val="004E432A"/>
    <w:rsid w:val="00512F19"/>
    <w:rsid w:val="005B714A"/>
    <w:rsid w:val="005C08ED"/>
    <w:rsid w:val="005D45A8"/>
    <w:rsid w:val="005D57C8"/>
    <w:rsid w:val="0061126A"/>
    <w:rsid w:val="006233DD"/>
    <w:rsid w:val="00625E6F"/>
    <w:rsid w:val="00667B72"/>
    <w:rsid w:val="00681B1D"/>
    <w:rsid w:val="00692680"/>
    <w:rsid w:val="006C0633"/>
    <w:rsid w:val="006E03C5"/>
    <w:rsid w:val="006E2FCC"/>
    <w:rsid w:val="006E6A36"/>
    <w:rsid w:val="006F1DC3"/>
    <w:rsid w:val="00706CC0"/>
    <w:rsid w:val="00731591"/>
    <w:rsid w:val="007466B2"/>
    <w:rsid w:val="00774825"/>
    <w:rsid w:val="007D5C34"/>
    <w:rsid w:val="00804E7E"/>
    <w:rsid w:val="00814B18"/>
    <w:rsid w:val="0082648E"/>
    <w:rsid w:val="0083158B"/>
    <w:rsid w:val="0085543B"/>
    <w:rsid w:val="008769D6"/>
    <w:rsid w:val="00893FF2"/>
    <w:rsid w:val="008D64A9"/>
    <w:rsid w:val="008E4A59"/>
    <w:rsid w:val="008F4919"/>
    <w:rsid w:val="009206B9"/>
    <w:rsid w:val="00931E90"/>
    <w:rsid w:val="009338FE"/>
    <w:rsid w:val="00995331"/>
    <w:rsid w:val="009F3820"/>
    <w:rsid w:val="00A07E2D"/>
    <w:rsid w:val="00A10E01"/>
    <w:rsid w:val="00A26A41"/>
    <w:rsid w:val="00A4798A"/>
    <w:rsid w:val="00A52B17"/>
    <w:rsid w:val="00A76844"/>
    <w:rsid w:val="00A82859"/>
    <w:rsid w:val="00A92A7B"/>
    <w:rsid w:val="00AB0D6E"/>
    <w:rsid w:val="00AC0782"/>
    <w:rsid w:val="00B11AF2"/>
    <w:rsid w:val="00B56CB7"/>
    <w:rsid w:val="00B6415A"/>
    <w:rsid w:val="00BB44A9"/>
    <w:rsid w:val="00BE59FB"/>
    <w:rsid w:val="00C27749"/>
    <w:rsid w:val="00C346A3"/>
    <w:rsid w:val="00C4106F"/>
    <w:rsid w:val="00C70C92"/>
    <w:rsid w:val="00C77CAA"/>
    <w:rsid w:val="00C96677"/>
    <w:rsid w:val="00CA3AF6"/>
    <w:rsid w:val="00CD3D55"/>
    <w:rsid w:val="00CE2429"/>
    <w:rsid w:val="00CE79C6"/>
    <w:rsid w:val="00CF0E2E"/>
    <w:rsid w:val="00D569EC"/>
    <w:rsid w:val="00DA725A"/>
    <w:rsid w:val="00DD453A"/>
    <w:rsid w:val="00E16397"/>
    <w:rsid w:val="00E20CFF"/>
    <w:rsid w:val="00E215B3"/>
    <w:rsid w:val="00E574B8"/>
    <w:rsid w:val="00E6497D"/>
    <w:rsid w:val="00E8202A"/>
    <w:rsid w:val="00EB3787"/>
    <w:rsid w:val="00ED3AEA"/>
    <w:rsid w:val="00EE1309"/>
    <w:rsid w:val="00EE28DC"/>
    <w:rsid w:val="00F12F95"/>
    <w:rsid w:val="00F26B4F"/>
    <w:rsid w:val="00F31A67"/>
    <w:rsid w:val="00F34E2B"/>
    <w:rsid w:val="00F44D7F"/>
    <w:rsid w:val="00F609D8"/>
    <w:rsid w:val="00F718BF"/>
    <w:rsid w:val="00F72287"/>
    <w:rsid w:val="00F84EDD"/>
    <w:rsid w:val="00F93E34"/>
    <w:rsid w:val="00FA242C"/>
    <w:rsid w:val="00FC0E25"/>
    <w:rsid w:val="00FC5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A0448"/>
  <w15:docId w15:val="{BB139E50-B34E-4324-A6BE-965CB481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5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15B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E215B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3">
    <w:name w:val="Table Grid"/>
    <w:basedOn w:val="a1"/>
    <w:uiPriority w:val="39"/>
    <w:rsid w:val="00E21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287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D2879"/>
  </w:style>
  <w:style w:type="paragraph" w:styleId="a6">
    <w:name w:val="footer"/>
    <w:basedOn w:val="a"/>
    <w:link w:val="a7"/>
    <w:uiPriority w:val="99"/>
    <w:unhideWhenUsed/>
    <w:rsid w:val="002D287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D2879"/>
  </w:style>
  <w:style w:type="character" w:customStyle="1" w:styleId="a8">
    <w:name w:val="Основной текст_"/>
    <w:link w:val="7"/>
    <w:locked/>
    <w:rsid w:val="0083158B"/>
    <w:rPr>
      <w:rFonts w:ascii="Times New Roman" w:hAnsi="Times New Roman" w:cs="Times New Roman"/>
      <w:sz w:val="21"/>
      <w:szCs w:val="21"/>
      <w:shd w:val="clear" w:color="auto" w:fill="FFFFFF"/>
    </w:rPr>
  </w:style>
  <w:style w:type="paragraph" w:customStyle="1" w:styleId="7">
    <w:name w:val="Основной текст7"/>
    <w:basedOn w:val="a"/>
    <w:link w:val="a8"/>
    <w:rsid w:val="0083158B"/>
    <w:pPr>
      <w:shd w:val="clear" w:color="auto" w:fill="FFFFFF"/>
      <w:spacing w:before="6660" w:after="0" w:line="254" w:lineRule="exact"/>
      <w:jc w:val="center"/>
    </w:pPr>
    <w:rPr>
      <w:rFonts w:ascii="Times New Roman" w:hAnsi="Times New Roman" w:cs="Times New Roman"/>
      <w:sz w:val="21"/>
      <w:szCs w:val="21"/>
    </w:rPr>
  </w:style>
  <w:style w:type="paragraph" w:styleId="a9">
    <w:name w:val="footnote text"/>
    <w:aliases w:val="Знак2,Знак21, Знак,Основной текст с отступом 22,Основной текст с отступом 221, Знак6,Знак6,Footnote Text Char Знак Знак,Footnote Text Char Знак,Footnote Text Char Знак Знак Знак Знак,Знак1 Знак1,Текст сноски Знак Знак1,Знак, Знак1 Знак1,F1"/>
    <w:basedOn w:val="a"/>
    <w:link w:val="aa"/>
    <w:uiPriority w:val="99"/>
    <w:unhideWhenUsed/>
    <w:qFormat/>
    <w:rsid w:val="0083158B"/>
    <w:pPr>
      <w:spacing w:after="0" w:line="240" w:lineRule="auto"/>
    </w:pPr>
    <w:rPr>
      <w:sz w:val="20"/>
      <w:szCs w:val="20"/>
    </w:rPr>
  </w:style>
  <w:style w:type="character" w:customStyle="1" w:styleId="aa">
    <w:name w:val="Текст сноски Знак"/>
    <w:aliases w:val="Знак2 Знак,Знак21 Знак, Знак Знак,Основной текст с отступом 22 Знак,Основной текст с отступом 221 Знак, Знак6 Знак,Знак6 Знак,Footnote Text Char Знак Знак Знак,Footnote Text Char Знак Знак1,Footnote Text Char Знак Знак Знак Знак Знак"/>
    <w:basedOn w:val="a0"/>
    <w:link w:val="a9"/>
    <w:uiPriority w:val="99"/>
    <w:rsid w:val="0083158B"/>
    <w:rPr>
      <w:sz w:val="20"/>
      <w:szCs w:val="20"/>
    </w:rPr>
  </w:style>
  <w:style w:type="character" w:styleId="ab">
    <w:name w:val="footnote reference"/>
    <w:basedOn w:val="a0"/>
    <w:uiPriority w:val="99"/>
    <w:semiHidden/>
    <w:unhideWhenUsed/>
    <w:rsid w:val="0083158B"/>
    <w:rPr>
      <w:vertAlign w:val="superscript"/>
    </w:rPr>
  </w:style>
  <w:style w:type="character" w:styleId="ac">
    <w:name w:val="annotation reference"/>
    <w:basedOn w:val="a0"/>
    <w:uiPriority w:val="99"/>
    <w:semiHidden/>
    <w:unhideWhenUsed/>
    <w:rsid w:val="0083158B"/>
    <w:rPr>
      <w:sz w:val="16"/>
      <w:szCs w:val="16"/>
    </w:rPr>
  </w:style>
  <w:style w:type="paragraph" w:styleId="ad">
    <w:name w:val="annotation text"/>
    <w:basedOn w:val="a"/>
    <w:link w:val="ae"/>
    <w:uiPriority w:val="99"/>
    <w:unhideWhenUsed/>
    <w:rsid w:val="0083158B"/>
    <w:pPr>
      <w:spacing w:line="240" w:lineRule="auto"/>
    </w:pPr>
    <w:rPr>
      <w:sz w:val="20"/>
      <w:szCs w:val="20"/>
    </w:rPr>
  </w:style>
  <w:style w:type="character" w:customStyle="1" w:styleId="ae">
    <w:name w:val="Текст примечания Знак"/>
    <w:basedOn w:val="a0"/>
    <w:link w:val="ad"/>
    <w:uiPriority w:val="99"/>
    <w:rsid w:val="0083158B"/>
    <w:rPr>
      <w:sz w:val="20"/>
      <w:szCs w:val="20"/>
    </w:rPr>
  </w:style>
  <w:style w:type="paragraph" w:styleId="af">
    <w:name w:val="annotation subject"/>
    <w:basedOn w:val="ad"/>
    <w:next w:val="ad"/>
    <w:link w:val="af0"/>
    <w:uiPriority w:val="99"/>
    <w:semiHidden/>
    <w:unhideWhenUsed/>
    <w:rsid w:val="0083158B"/>
    <w:rPr>
      <w:b/>
      <w:bCs/>
    </w:rPr>
  </w:style>
  <w:style w:type="character" w:customStyle="1" w:styleId="af0">
    <w:name w:val="Тема примечания Знак"/>
    <w:basedOn w:val="ae"/>
    <w:link w:val="af"/>
    <w:uiPriority w:val="99"/>
    <w:semiHidden/>
    <w:rsid w:val="0083158B"/>
    <w:rPr>
      <w:b/>
      <w:bCs/>
      <w:sz w:val="20"/>
      <w:szCs w:val="20"/>
    </w:rPr>
  </w:style>
  <w:style w:type="paragraph" w:styleId="af1">
    <w:name w:val="Balloon Text"/>
    <w:basedOn w:val="a"/>
    <w:link w:val="af2"/>
    <w:uiPriority w:val="99"/>
    <w:semiHidden/>
    <w:unhideWhenUsed/>
    <w:rsid w:val="0083158B"/>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83158B"/>
    <w:rPr>
      <w:rFonts w:ascii="Segoe UI" w:hAnsi="Segoe UI" w:cs="Segoe UI"/>
      <w:sz w:val="18"/>
      <w:szCs w:val="18"/>
    </w:rPr>
  </w:style>
  <w:style w:type="paragraph" w:styleId="af3">
    <w:name w:val="Revision"/>
    <w:hidden/>
    <w:uiPriority w:val="99"/>
    <w:semiHidden/>
    <w:rsid w:val="003A4834"/>
    <w:pPr>
      <w:spacing w:after="0" w:line="240" w:lineRule="auto"/>
    </w:pPr>
  </w:style>
  <w:style w:type="character" w:styleId="af4">
    <w:name w:val="Hyperlink"/>
    <w:basedOn w:val="a0"/>
    <w:uiPriority w:val="99"/>
    <w:unhideWhenUsed/>
    <w:rsid w:val="008E4A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688166">
      <w:bodyDiv w:val="1"/>
      <w:marLeft w:val="0"/>
      <w:marRight w:val="0"/>
      <w:marTop w:val="0"/>
      <w:marBottom w:val="0"/>
      <w:divBdr>
        <w:top w:val="none" w:sz="0" w:space="0" w:color="auto"/>
        <w:left w:val="none" w:sz="0" w:space="0" w:color="auto"/>
        <w:bottom w:val="none" w:sz="0" w:space="0" w:color="auto"/>
        <w:right w:val="none" w:sz="0" w:space="0" w:color="auto"/>
      </w:divBdr>
    </w:div>
    <w:div w:id="1020661340">
      <w:bodyDiv w:val="1"/>
      <w:marLeft w:val="0"/>
      <w:marRight w:val="0"/>
      <w:marTop w:val="0"/>
      <w:marBottom w:val="0"/>
      <w:divBdr>
        <w:top w:val="none" w:sz="0" w:space="0" w:color="auto"/>
        <w:left w:val="none" w:sz="0" w:space="0" w:color="auto"/>
        <w:bottom w:val="none" w:sz="0" w:space="0" w:color="auto"/>
        <w:right w:val="none" w:sz="0" w:space="0" w:color="auto"/>
      </w:divBdr>
    </w:div>
    <w:div w:id="1135367110">
      <w:bodyDiv w:val="1"/>
      <w:marLeft w:val="0"/>
      <w:marRight w:val="0"/>
      <w:marTop w:val="0"/>
      <w:marBottom w:val="0"/>
      <w:divBdr>
        <w:top w:val="none" w:sz="0" w:space="0" w:color="auto"/>
        <w:left w:val="none" w:sz="0" w:space="0" w:color="auto"/>
        <w:bottom w:val="none" w:sz="0" w:space="0" w:color="auto"/>
        <w:right w:val="none" w:sz="0" w:space="0" w:color="auto"/>
      </w:divBdr>
    </w:div>
    <w:div w:id="1186945852">
      <w:bodyDiv w:val="1"/>
      <w:marLeft w:val="0"/>
      <w:marRight w:val="0"/>
      <w:marTop w:val="0"/>
      <w:marBottom w:val="0"/>
      <w:divBdr>
        <w:top w:val="none" w:sz="0" w:space="0" w:color="auto"/>
        <w:left w:val="none" w:sz="0" w:space="0" w:color="auto"/>
        <w:bottom w:val="none" w:sz="0" w:space="0" w:color="auto"/>
        <w:right w:val="none" w:sz="0" w:space="0" w:color="auto"/>
      </w:divBdr>
    </w:div>
    <w:div w:id="1266034186">
      <w:bodyDiv w:val="1"/>
      <w:marLeft w:val="0"/>
      <w:marRight w:val="0"/>
      <w:marTop w:val="0"/>
      <w:marBottom w:val="0"/>
      <w:divBdr>
        <w:top w:val="none" w:sz="0" w:space="0" w:color="auto"/>
        <w:left w:val="none" w:sz="0" w:space="0" w:color="auto"/>
        <w:bottom w:val="none" w:sz="0" w:space="0" w:color="auto"/>
        <w:right w:val="none" w:sz="0" w:space="0" w:color="auto"/>
      </w:divBdr>
    </w:div>
    <w:div w:id="149206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word/header11.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theme" Target="/word/theme/theme11.xml" Id="rId10" /><Relationship Type="http://schemas.openxmlformats.org/officeDocument/2006/relationships/settings" Target="/word/settings.xml" Id="rId4" /><Relationship Type="http://schemas.openxmlformats.org/officeDocument/2006/relationships/fontTable" Target="/word/fontTable.xml" Id="rId9"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7711BE4C-807D-45EC-89DC-E4BBDD863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31</Words>
  <Characters>180</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Зотова Виктория Олеговна</dc:creator>
  <cp:lastModifiedBy>Tchaikovsky</cp:lastModifiedBy>
  <cp:revision>59</cp:revision>
  <dcterms:created xsi:type="dcterms:W3CDTF">2022-05-31T20:41:00Z</dcterms:created>
  <dcterms:modified xsi:type="dcterms:W3CDTF">2024-04-27T12:41:00Z</dcterms:modified>
</cp:coreProperties>
</file>