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Cs w:val="28"/>
        </w:rPr>
      </w:pPr>
      <w:r>
        <w:rPr>
          <w:sz w:val="24"/>
          <w:szCs w:val="28"/>
        </w:rPr>
        <w:t xml:space="preserve">Приложение №5 </w:t>
      </w:r>
      <w:r/>
    </w:p>
    <w:p>
      <w:pPr>
        <w:jc w:val="right"/>
        <w:rPr>
          <w:sz w:val="24"/>
          <w:szCs w:val="28"/>
        </w:rPr>
      </w:pPr>
      <w:r>
        <w:rPr>
          <w:sz w:val="24"/>
          <w:szCs w:val="28"/>
        </w:rPr>
        <w:t xml:space="preserve">к </w:t>
      </w:r>
      <w:r>
        <w:rPr>
          <w:szCs w:val="28"/>
        </w:rPr>
        <w:t xml:space="preserve">П</w:t>
      </w:r>
      <w:r>
        <w:rPr>
          <w:sz w:val="24"/>
          <w:szCs w:val="28"/>
        </w:rPr>
        <w:t xml:space="preserve">роекту контракта</w:t>
      </w:r>
      <w:r/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firstLine="0"/>
        <w:jc w:val="center"/>
        <w:spacing w:line="240" w:lineRule="atLeas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Техническое задание</w:t>
      </w:r>
      <w:r/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(описание объекта закупки</w:t>
      </w:r>
      <w:r>
        <w:rPr>
          <w:sz w:val="24"/>
          <w:szCs w:val="24"/>
        </w:rPr>
        <w:t xml:space="preserve">)</w:t>
      </w:r>
      <w:r/>
    </w:p>
    <w:p>
      <w:pPr>
        <w:ind w:firstLine="0"/>
        <w:jc w:val="center"/>
        <w:spacing w:line="240" w:lineRule="atLeas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  <w:r/>
    </w:p>
    <w:p>
      <w:pPr>
        <w:ind w:firstLine="0"/>
        <w:jc w:val="center"/>
        <w:spacing w:line="240" w:lineRule="exact"/>
        <w:widowControl w:val="off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поставк</w:t>
      </w:r>
      <w:r>
        <w:rPr>
          <w:b/>
          <w:bCs/>
          <w:sz w:val="24"/>
          <w:szCs w:val="24"/>
        </w:rPr>
        <w:t xml:space="preserve">а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игрового </w:t>
      </w:r>
      <w:r>
        <w:rPr>
          <w:b/>
          <w:bCs/>
          <w:sz w:val="24"/>
          <w:szCs w:val="24"/>
        </w:rPr>
        <w:t xml:space="preserve">оборудования для дошкольных учреждений по ФГОС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contextualSpacing/>
        <w:ind w:firstLine="0"/>
        <w:shd w:val="clear" w:color="auto" w:fill="ffffff"/>
        <w:tabs>
          <w:tab w:val="left" w:pos="567" w:leader="none"/>
        </w:tabs>
        <w:rPr>
          <w:spacing w:val="-6"/>
          <w:sz w:val="24"/>
          <w:szCs w:val="28"/>
        </w:rPr>
      </w:pPr>
      <w:r>
        <w:rPr>
          <w:sz w:val="24"/>
          <w:szCs w:val="24"/>
        </w:rPr>
        <w:t xml:space="preserve">1. </w:t>
      </w:r>
      <w:r>
        <w:rPr>
          <w:b/>
          <w:sz w:val="24"/>
          <w:szCs w:val="24"/>
        </w:rPr>
        <w:t xml:space="preserve">Наименование объекта закупки: </w:t>
      </w:r>
      <w:r>
        <w:rPr>
          <w:b/>
          <w:sz w:val="24"/>
          <w:szCs w:val="24"/>
        </w:rPr>
        <w:t xml:space="preserve">игровое </w:t>
      </w:r>
      <w:bookmarkStart w:id="0" w:name="_GoBack"/>
      <w:r/>
      <w:bookmarkEnd w:id="0"/>
      <w:r>
        <w:rPr>
          <w:bCs/>
          <w:sz w:val="24"/>
          <w:szCs w:val="24"/>
        </w:rPr>
        <w:t xml:space="preserve">оборудование для дошкольных учреждений по ФГОС</w:t>
      </w:r>
      <w:r/>
    </w:p>
    <w:p>
      <w:pPr>
        <w:contextualSpacing/>
        <w:ind w:firstLine="0"/>
        <w:jc w:val="left"/>
        <w:spacing w:after="200" w:line="276" w:lineRule="auto"/>
        <w:widowControl w:val="off"/>
        <w:tabs>
          <w:tab w:val="left" w:pos="0" w:leader="none"/>
        </w:tabs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2. </w:t>
      </w:r>
      <w:r>
        <w:rPr>
          <w:rFonts w:eastAsia="Calibri"/>
          <w:b/>
          <w:sz w:val="24"/>
          <w:szCs w:val="24"/>
          <w:lang w:eastAsia="en-US"/>
        </w:rPr>
        <w:t xml:space="preserve">КОЗ</w:t>
      </w:r>
      <w:r>
        <w:rPr>
          <w:rFonts w:eastAsia="Calibri"/>
          <w:b/>
          <w:sz w:val="24"/>
          <w:szCs w:val="24"/>
          <w:lang w:eastAsia="en-US"/>
        </w:rPr>
        <w:t xml:space="preserve"> 2</w:t>
      </w:r>
      <w:r>
        <w:rPr>
          <w:rFonts w:eastAsia="Calibri"/>
          <w:b/>
          <w:sz w:val="24"/>
          <w:szCs w:val="24"/>
          <w:lang w:eastAsia="en-US"/>
        </w:rPr>
        <w:t xml:space="preserve">: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color w:val="000000"/>
          <w:sz w:val="24"/>
          <w:szCs w:val="24"/>
        </w:rPr>
        <w:t xml:space="preserve">11.107.05.01.02.01.018</w:t>
      </w:r>
      <w:r/>
    </w:p>
    <w:p>
      <w:pPr>
        <w:contextualSpacing/>
        <w:ind w:firstLine="0"/>
        <w:jc w:val="left"/>
        <w:spacing w:after="200" w:line="276" w:lineRule="auto"/>
        <w:widowControl w:val="off"/>
        <w:tabs>
          <w:tab w:val="left" w:pos="0" w:leader="none"/>
        </w:tabs>
        <w:rPr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 xml:space="preserve">   </w:t>
      </w:r>
      <w:r>
        <w:rPr>
          <w:rFonts w:eastAsia="Calibri"/>
          <w:b/>
          <w:sz w:val="24"/>
          <w:szCs w:val="24"/>
          <w:lang w:eastAsia="en-US"/>
        </w:rPr>
        <w:t xml:space="preserve">О</w:t>
      </w:r>
      <w:r>
        <w:rPr>
          <w:rFonts w:eastAsia="Calibri"/>
          <w:b/>
          <w:sz w:val="24"/>
          <w:szCs w:val="24"/>
          <w:lang w:eastAsia="en-US"/>
        </w:rPr>
        <w:t xml:space="preserve">КПД 2</w:t>
      </w:r>
      <w:r>
        <w:rPr>
          <w:rFonts w:eastAsia="Calibri"/>
          <w:sz w:val="24"/>
          <w:szCs w:val="24"/>
          <w:lang w:eastAsia="en-US"/>
        </w:rPr>
        <w:t xml:space="preserve">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 xml:space="preserve">31.01.12.121</w:t>
      </w:r>
      <w:r/>
    </w:p>
    <w:p>
      <w:pPr>
        <w:ind w:firstLine="0"/>
        <w:spacing w:after="200" w:line="276" w:lineRule="auto"/>
        <w:widowControl w:val="off"/>
        <w:tabs>
          <w:tab w:val="left" w:pos="284" w:leader="none"/>
        </w:tabs>
        <w:rPr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 xml:space="preserve">   КТРУ</w:t>
      </w:r>
      <w:r>
        <w:rPr>
          <w:rFonts w:eastAsia="Calibri"/>
          <w:sz w:val="24"/>
          <w:szCs w:val="24"/>
          <w:lang w:eastAsia="en-US"/>
        </w:rPr>
        <w:t xml:space="preserve">:</w:t>
      </w:r>
      <w:r>
        <w:rPr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 xml:space="preserve">31.01.12.121-00000019</w:t>
      </w:r>
      <w:r/>
    </w:p>
    <w:p>
      <w:pPr>
        <w:contextualSpacing/>
        <w:ind w:firstLine="0"/>
        <w:jc w:val="left"/>
        <w:spacing w:after="200" w:line="276" w:lineRule="auto"/>
        <w:widowControl w:val="off"/>
        <w:tabs>
          <w:tab w:val="left" w:pos="0" w:leader="none"/>
        </w:tabs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3. </w:t>
      </w:r>
      <w:r>
        <w:rPr>
          <w:rFonts w:eastAsia="Calibri"/>
          <w:b/>
          <w:sz w:val="24"/>
          <w:szCs w:val="24"/>
          <w:lang w:eastAsia="en-US"/>
        </w:rPr>
        <w:t xml:space="preserve">Сведения о заказчике</w:t>
      </w:r>
      <w:r>
        <w:rPr>
          <w:rFonts w:eastAsia="Calibri"/>
          <w:sz w:val="24"/>
          <w:szCs w:val="24"/>
          <w:lang w:eastAsia="en-US"/>
        </w:rPr>
        <w:t xml:space="preserve">:</w:t>
      </w:r>
      <w:r/>
    </w:p>
    <w:p>
      <w:pPr>
        <w:contextualSpacing/>
        <w:ind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Наименование: </w:t>
      </w:r>
      <w:r>
        <w:rPr>
          <w:rFonts w:eastAsia="Calibri"/>
          <w:sz w:val="24"/>
          <w:szCs w:val="24"/>
          <w:u w:val="single"/>
          <w:lang w:eastAsia="en-US"/>
        </w:rPr>
        <w:t xml:space="preserve">муниципальное </w:t>
      </w:r>
      <w:r>
        <w:rPr>
          <w:rFonts w:eastAsia="Calibri"/>
          <w:sz w:val="24"/>
          <w:szCs w:val="24"/>
          <w:u w:val="single"/>
          <w:lang w:eastAsia="en-US"/>
        </w:rPr>
        <w:t xml:space="preserve">бюджетное </w:t>
      </w:r>
      <w:r>
        <w:rPr>
          <w:rFonts w:eastAsia="Calibri"/>
          <w:sz w:val="24"/>
          <w:szCs w:val="24"/>
          <w:u w:val="single"/>
          <w:lang w:eastAsia="en-US"/>
        </w:rPr>
        <w:t xml:space="preserve">общеобразовательное учреждение «Совхозная средняя общеобразовательная школа»</w:t>
      </w:r>
      <w:r/>
    </w:p>
    <w:p>
      <w:pPr>
        <w:ind w:firstLine="0"/>
        <w:spacing w:line="276" w:lineRule="auto"/>
        <w:tabs>
          <w:tab w:val="left" w:pos="0" w:leader="none"/>
        </w:tabs>
        <w:rPr>
          <w:rFonts w:eastAsia="Calibri"/>
          <w:sz w:val="24"/>
          <w:szCs w:val="24"/>
          <w:u w:val="single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Юридический а</w:t>
      </w:r>
      <w:r>
        <w:rPr>
          <w:rFonts w:eastAsia="Calibri"/>
          <w:b/>
          <w:sz w:val="24"/>
          <w:szCs w:val="24"/>
          <w:lang w:eastAsia="en-US"/>
        </w:rPr>
        <w:t xml:space="preserve">дрес: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u w:val="single"/>
          <w:lang w:eastAsia="en-US"/>
        </w:rPr>
        <w:t xml:space="preserve">14</w:t>
      </w:r>
      <w:r>
        <w:rPr>
          <w:rFonts w:eastAsia="Calibri"/>
          <w:sz w:val="24"/>
          <w:szCs w:val="24"/>
          <w:u w:val="single"/>
          <w:lang w:eastAsia="en-US"/>
        </w:rPr>
        <w:t xml:space="preserve">2953, Московская область, м</w:t>
      </w:r>
      <w:r>
        <w:rPr>
          <w:rFonts w:eastAsia="Calibri"/>
          <w:sz w:val="24"/>
          <w:szCs w:val="24"/>
          <w:u w:val="single"/>
          <w:lang w:eastAsia="en-US"/>
        </w:rPr>
        <w:t xml:space="preserve">.о. </w:t>
      </w:r>
      <w:r>
        <w:rPr>
          <w:rFonts w:eastAsia="Calibri"/>
          <w:sz w:val="24"/>
          <w:szCs w:val="24"/>
          <w:u w:val="single"/>
          <w:lang w:eastAsia="en-US"/>
        </w:rPr>
        <w:t xml:space="preserve">Серебряные Пруды, п. Успенский, ул. 50 лет Октября, д. 11</w:t>
      </w:r>
      <w:r>
        <w:rPr>
          <w:rFonts w:eastAsia="Calibri"/>
          <w:sz w:val="24"/>
          <w:szCs w:val="24"/>
          <w:u w:val="single"/>
          <w:lang w:eastAsia="en-US"/>
        </w:rPr>
        <w:t xml:space="preserve">;</w:t>
      </w:r>
      <w:r/>
    </w:p>
    <w:p>
      <w:pPr>
        <w:ind w:firstLine="0"/>
        <w:spacing w:line="276" w:lineRule="auto"/>
        <w:tabs>
          <w:tab w:val="left" w:pos="0" w:leader="none"/>
        </w:tabs>
        <w:rPr>
          <w:rFonts w:eastAsia="Calibri"/>
          <w:b/>
          <w:sz w:val="24"/>
          <w:szCs w:val="24"/>
          <w:u w:val="single"/>
          <w:lang w:eastAsia="en-US"/>
        </w:rPr>
      </w:pPr>
      <w:r>
        <w:rPr>
          <w:rFonts w:eastAsia="Calibri"/>
          <w:b/>
          <w:sz w:val="24"/>
          <w:szCs w:val="24"/>
          <w:u w:val="single"/>
          <w:lang w:eastAsia="en-US"/>
        </w:rPr>
        <w:t xml:space="preserve">Адреса местонахождения</w:t>
      </w:r>
      <w:r>
        <w:rPr>
          <w:rFonts w:eastAsia="Calibri"/>
          <w:b/>
          <w:sz w:val="24"/>
          <w:szCs w:val="24"/>
          <w:u w:val="single"/>
          <w:lang w:eastAsia="en-US"/>
        </w:rPr>
        <w:t xml:space="preserve"> объектов</w:t>
      </w:r>
      <w:r>
        <w:rPr>
          <w:rFonts w:eastAsia="Calibri"/>
          <w:b/>
          <w:sz w:val="24"/>
          <w:szCs w:val="24"/>
          <w:u w:val="single"/>
          <w:lang w:eastAsia="en-US"/>
        </w:rPr>
        <w:t xml:space="preserve">: </w:t>
      </w:r>
      <w:r/>
    </w:p>
    <w:p>
      <w:pPr>
        <w:ind w:firstLine="0"/>
        <w:spacing w:line="276" w:lineRule="auto"/>
        <w:tabs>
          <w:tab w:val="left" w:pos="0" w:leader="none"/>
        </w:tabs>
        <w:rPr>
          <w:rFonts w:eastAsia="Calibri"/>
          <w:sz w:val="24"/>
          <w:szCs w:val="24"/>
          <w:u w:val="single"/>
          <w:lang w:eastAsia="en-US"/>
        </w:rPr>
      </w:pPr>
      <w:r>
        <w:rPr>
          <w:rFonts w:eastAsia="Calibri"/>
          <w:i/>
          <w:sz w:val="24"/>
          <w:szCs w:val="24"/>
          <w:u w:val="single"/>
          <w:lang w:eastAsia="en-US"/>
        </w:rPr>
        <w:t xml:space="preserve">Основное здание:</w:t>
      </w:r>
      <w:r>
        <w:rPr>
          <w:rFonts w:eastAsia="Calibri"/>
          <w:sz w:val="24"/>
          <w:szCs w:val="24"/>
          <w:u w:val="single"/>
          <w:lang w:eastAsia="en-US"/>
        </w:rPr>
        <w:t xml:space="preserve"> 142953, Московская область, м</w:t>
      </w:r>
      <w:r>
        <w:rPr>
          <w:rFonts w:eastAsia="Calibri"/>
          <w:sz w:val="24"/>
          <w:szCs w:val="24"/>
          <w:u w:val="single"/>
          <w:lang w:eastAsia="en-US"/>
        </w:rPr>
        <w:t xml:space="preserve">.о. Серебряные Пруды, п. Успенский, ул. 50 лет Октября, д. 11;</w:t>
      </w:r>
      <w:r/>
    </w:p>
    <w:p>
      <w:pPr>
        <w:ind w:firstLine="0"/>
        <w:spacing w:line="276" w:lineRule="auto"/>
        <w:tabs>
          <w:tab w:val="left" w:pos="0" w:leader="none"/>
        </w:tabs>
        <w:rPr>
          <w:rFonts w:eastAsia="Calibri"/>
          <w:u w:val="single"/>
          <w:lang w:eastAsia="en-US"/>
        </w:rPr>
      </w:pPr>
      <w:r>
        <w:rPr>
          <w:rFonts w:eastAsia="Calibri"/>
          <w:i/>
          <w:u w:val="single"/>
          <w:lang w:eastAsia="en-US"/>
        </w:rPr>
        <w:t xml:space="preserve">Подразделения:</w:t>
      </w:r>
      <w:r>
        <w:rPr>
          <w:rFonts w:eastAsia="Calibri"/>
          <w:u w:val="single"/>
          <w:lang w:eastAsia="en-US"/>
        </w:rPr>
        <w:t xml:space="preserve"> </w:t>
      </w:r>
      <w:r/>
    </w:p>
    <w:p>
      <w:pPr>
        <w:pStyle w:val="694"/>
        <w:numPr>
          <w:ilvl w:val="0"/>
          <w:numId w:val="13"/>
        </w:numPr>
        <w:spacing w:line="276" w:lineRule="auto"/>
        <w:tabs>
          <w:tab w:val="left" w:pos="0" w:leader="none"/>
        </w:tabs>
        <w:rPr>
          <w:rFonts w:eastAsia="Calibri"/>
          <w:u w:val="single"/>
          <w:lang w:eastAsia="en-US"/>
        </w:rPr>
      </w:pPr>
      <w:r>
        <w:rPr>
          <w:rFonts w:eastAsia="Calibri"/>
          <w:u w:val="single"/>
          <w:lang w:eastAsia="en-US"/>
        </w:rPr>
        <w:t xml:space="preserve">142954, Московская об</w:t>
      </w:r>
      <w:r>
        <w:rPr>
          <w:rFonts w:eastAsia="Calibri"/>
          <w:u w:val="single"/>
          <w:lang w:eastAsia="en-US"/>
        </w:rPr>
        <w:t xml:space="preserve">ласть, м.о. Серебряные Пруды, с. Мочилы, ул. Школьная, д. 9/2 и</w:t>
      </w:r>
      <w:r>
        <w:rPr>
          <w:rFonts w:eastAsia="Calibri"/>
          <w:u w:val="single"/>
          <w:lang w:eastAsia="en-US"/>
        </w:rPr>
        <w:t xml:space="preserve"> 9/1;</w:t>
      </w:r>
      <w:r/>
    </w:p>
    <w:p>
      <w:pPr>
        <w:pStyle w:val="694"/>
        <w:numPr>
          <w:ilvl w:val="0"/>
          <w:numId w:val="13"/>
        </w:numPr>
        <w:spacing w:line="276" w:lineRule="auto"/>
        <w:tabs>
          <w:tab w:val="left" w:pos="0" w:leader="none"/>
        </w:tabs>
        <w:rPr>
          <w:rFonts w:eastAsia="Calibri"/>
          <w:u w:val="single"/>
          <w:lang w:eastAsia="en-US"/>
        </w:rPr>
      </w:pPr>
      <w:r>
        <w:rPr>
          <w:rFonts w:eastAsia="Calibri"/>
          <w:u w:val="single"/>
          <w:lang w:eastAsia="en-US"/>
        </w:rPr>
        <w:t xml:space="preserve">142956, </w:t>
      </w:r>
      <w:r>
        <w:rPr>
          <w:rFonts w:eastAsia="Calibri"/>
          <w:u w:val="single"/>
          <w:lang w:eastAsia="en-US"/>
        </w:rPr>
        <w:t xml:space="preserve">Московская область, </w:t>
      </w:r>
      <w:r>
        <w:rPr>
          <w:rFonts w:eastAsia="Calibri"/>
          <w:u w:val="single"/>
          <w:lang w:eastAsia="en-US"/>
        </w:rPr>
        <w:t xml:space="preserve">м.о.</w:t>
      </w:r>
      <w:r>
        <w:rPr>
          <w:rFonts w:eastAsia="Calibri"/>
          <w:u w:val="single"/>
          <w:lang w:eastAsia="en-US"/>
        </w:rPr>
        <w:t xml:space="preserve"> Серебряные Пруды, д</w:t>
      </w:r>
      <w:r>
        <w:rPr>
          <w:rFonts w:eastAsia="Calibri"/>
          <w:u w:val="single"/>
          <w:lang w:eastAsia="en-US"/>
        </w:rPr>
        <w:t xml:space="preserve">. </w:t>
      </w:r>
      <w:r>
        <w:rPr>
          <w:rFonts w:eastAsia="Calibri"/>
          <w:u w:val="single"/>
          <w:lang w:eastAsia="en-US"/>
        </w:rPr>
        <w:t xml:space="preserve">Шеметово, д. 51;</w:t>
      </w:r>
      <w:r/>
    </w:p>
    <w:p>
      <w:pPr>
        <w:pStyle w:val="694"/>
        <w:numPr>
          <w:ilvl w:val="0"/>
          <w:numId w:val="13"/>
        </w:numPr>
        <w:spacing w:line="276" w:lineRule="auto"/>
        <w:tabs>
          <w:tab w:val="left" w:pos="0" w:leader="none"/>
        </w:tabs>
        <w:rPr>
          <w:rFonts w:eastAsia="Calibri"/>
          <w:u w:val="single"/>
          <w:lang w:eastAsia="en-US"/>
        </w:rPr>
      </w:pPr>
      <w:r>
        <w:rPr>
          <w:rFonts w:eastAsia="Calibri"/>
          <w:u w:val="single"/>
          <w:lang w:eastAsia="en-US"/>
        </w:rPr>
        <w:t xml:space="preserve">142953, Московская область, </w:t>
      </w:r>
      <w:r>
        <w:rPr>
          <w:rFonts w:eastAsia="Calibri"/>
          <w:u w:val="single"/>
          <w:lang w:eastAsia="en-US"/>
        </w:rPr>
        <w:t xml:space="preserve">м</w:t>
      </w:r>
      <w:r>
        <w:rPr>
          <w:rFonts w:eastAsia="Calibri"/>
          <w:u w:val="single"/>
          <w:lang w:eastAsia="en-US"/>
        </w:rPr>
        <w:t xml:space="preserve">.о. Серебряные Пруды, п. Успе</w:t>
      </w:r>
      <w:r>
        <w:rPr>
          <w:rFonts w:eastAsia="Calibri"/>
          <w:u w:val="single"/>
          <w:lang w:eastAsia="en-US"/>
        </w:rPr>
        <w:t xml:space="preserve">нский, ул. 50 лет Октября, д. 10;</w:t>
      </w:r>
      <w:r/>
    </w:p>
    <w:p>
      <w:pPr>
        <w:pStyle w:val="694"/>
        <w:numPr>
          <w:ilvl w:val="0"/>
          <w:numId w:val="13"/>
        </w:numPr>
        <w:spacing w:line="276" w:lineRule="auto"/>
        <w:tabs>
          <w:tab w:val="left" w:pos="0" w:leader="none"/>
        </w:tabs>
        <w:rPr>
          <w:rFonts w:eastAsia="Calibri"/>
          <w:u w:val="single"/>
          <w:lang w:eastAsia="en-US"/>
        </w:rPr>
      </w:pPr>
      <w:r>
        <w:rPr>
          <w:rFonts w:eastAsia="Calibri"/>
          <w:u w:val="single"/>
          <w:lang w:eastAsia="en-US"/>
        </w:rPr>
        <w:t xml:space="preserve">142953, Московская область, м.о. Серебряные Пруды, п. Успенский, ул. Запрудная, д. 17 </w:t>
      </w:r>
      <w:r/>
    </w:p>
    <w:p>
      <w:pPr>
        <w:ind w:firstLine="0"/>
        <w:spacing w:line="276" w:lineRule="auto"/>
        <w:tabs>
          <w:tab w:val="left" w:pos="0" w:leader="none"/>
        </w:tabs>
        <w:rPr>
          <w:rFonts w:eastAsia="Calibri"/>
          <w:b/>
          <w:u w:val="single"/>
          <w:lang w:eastAsia="en-US"/>
        </w:rPr>
      </w:pPr>
      <w:r>
        <w:rPr>
          <w:rFonts w:eastAsia="Calibri"/>
          <w:b/>
          <w:u w:val="single"/>
          <w:lang w:eastAsia="en-US"/>
        </w:rPr>
      </w:r>
      <w:r/>
    </w:p>
    <w:p>
      <w:pPr>
        <w:ind w:firstLine="0"/>
        <w:spacing w:line="276" w:lineRule="auto"/>
        <w:tabs>
          <w:tab w:val="left" w:pos="0" w:leader="none"/>
        </w:tabs>
        <w:rPr>
          <w:rFonts w:eastAsia="Calibri"/>
          <w:u w:val="single"/>
          <w:lang w:eastAsia="en-US"/>
        </w:rPr>
      </w:pPr>
      <w:r>
        <w:rPr>
          <w:rFonts w:eastAsia="Calibri"/>
          <w:b/>
          <w:u w:val="single"/>
          <w:lang w:eastAsia="en-US"/>
        </w:rPr>
        <w:t xml:space="preserve">Место поставки товара:</w:t>
      </w:r>
      <w:r>
        <w:rPr>
          <w:rFonts w:eastAsia="Calibri"/>
          <w:u w:val="single"/>
          <w:lang w:eastAsia="en-US"/>
        </w:rPr>
        <w:t xml:space="preserve"> в соответствии </w:t>
      </w:r>
      <w:r>
        <w:rPr>
          <w:rFonts w:eastAsia="Calibri"/>
          <w:u w:val="single"/>
          <w:lang w:eastAsia="en-US"/>
        </w:rPr>
        <w:t xml:space="preserve">с </w:t>
      </w:r>
      <w:r>
        <w:rPr>
          <w:rFonts w:eastAsia="Calibri"/>
          <w:u w:val="single"/>
          <w:lang w:eastAsia="en-US"/>
        </w:rPr>
        <w:t xml:space="preserve">п. 4.1,</w:t>
      </w:r>
      <w:r>
        <w:rPr>
          <w:rFonts w:eastAsia="Calibri"/>
          <w:u w:val="single"/>
          <w:lang w:eastAsia="en-US"/>
        </w:rPr>
        <w:t xml:space="preserve"> п. </w:t>
      </w:r>
      <w:r>
        <w:rPr>
          <w:rFonts w:eastAsia="Calibri"/>
          <w:u w:val="single"/>
          <w:lang w:eastAsia="en-US"/>
        </w:rPr>
        <w:t xml:space="preserve">6</w:t>
      </w:r>
      <w:r/>
    </w:p>
    <w:p>
      <w:pPr>
        <w:ind w:firstLine="0"/>
        <w:spacing w:line="276" w:lineRule="auto"/>
        <w:tabs>
          <w:tab w:val="left" w:pos="0" w:leader="none"/>
        </w:tabs>
        <w:rPr>
          <w:rFonts w:eastAsia="Calibri"/>
          <w:sz w:val="24"/>
          <w:szCs w:val="24"/>
          <w:u w:val="single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Тел</w:t>
      </w:r>
      <w:r>
        <w:rPr>
          <w:rFonts w:eastAsia="Calibri"/>
          <w:b/>
          <w:sz w:val="24"/>
          <w:szCs w:val="24"/>
          <w:lang w:eastAsia="en-US"/>
        </w:rPr>
        <w:t xml:space="preserve">.: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u w:val="single"/>
          <w:lang w:eastAsia="en-US"/>
        </w:rPr>
        <w:t xml:space="preserve">8(496-67) – 3 – 03 – 25 </w:t>
      </w:r>
      <w:r/>
    </w:p>
    <w:p>
      <w:pPr>
        <w:contextualSpacing/>
        <w:ind w:firstLine="0"/>
        <w:tabs>
          <w:tab w:val="left" w:pos="0" w:leader="none"/>
        </w:tabs>
        <w:rPr>
          <w:rFonts w:eastAsia="Calibri"/>
          <w:sz w:val="24"/>
          <w:szCs w:val="24"/>
          <w:u w:val="single"/>
          <w:lang w:eastAsia="en-US"/>
        </w:rPr>
      </w:pPr>
      <w:r>
        <w:rPr>
          <w:rFonts w:eastAsia="Calibri"/>
          <w:b/>
          <w:sz w:val="24"/>
          <w:szCs w:val="24"/>
          <w:lang w:val="en-US" w:eastAsia="en-US"/>
        </w:rPr>
        <w:t xml:space="preserve">email</w:t>
      </w:r>
      <w:r>
        <w:rPr>
          <w:rFonts w:eastAsia="Calibri"/>
          <w:b/>
          <w:sz w:val="24"/>
          <w:szCs w:val="24"/>
          <w:lang w:eastAsia="en-US"/>
        </w:rPr>
        <w:t xml:space="preserve">: </w:t>
      </w:r>
      <w:hyperlink r:id="rId10" w:tooltip="mailto:schoolsovkhoz@yandex.ru" w:history="1">
        <w:r>
          <w:rPr>
            <w:rStyle w:val="702"/>
            <w:rFonts w:eastAsia="Calibri"/>
            <w:sz w:val="24"/>
            <w:szCs w:val="24"/>
            <w:lang w:val="en-US" w:eastAsia="en-US"/>
          </w:rPr>
          <w:t xml:space="preserve">schoolsovkhoz</w:t>
        </w:r>
        <w:r>
          <w:rPr>
            <w:rStyle w:val="702"/>
            <w:rFonts w:eastAsia="Calibri"/>
            <w:sz w:val="24"/>
            <w:szCs w:val="24"/>
            <w:lang w:eastAsia="en-US"/>
          </w:rPr>
          <w:t xml:space="preserve">@</w:t>
        </w:r>
        <w:r>
          <w:rPr>
            <w:rStyle w:val="702"/>
            <w:rFonts w:eastAsia="Calibri"/>
            <w:sz w:val="24"/>
            <w:szCs w:val="24"/>
            <w:lang w:val="en-US" w:eastAsia="en-US"/>
          </w:rPr>
          <w:t xml:space="preserve">yandex</w:t>
        </w:r>
        <w:r>
          <w:rPr>
            <w:rStyle w:val="702"/>
            <w:rFonts w:eastAsia="Calibri"/>
            <w:sz w:val="24"/>
            <w:szCs w:val="24"/>
            <w:lang w:eastAsia="en-US"/>
          </w:rPr>
          <w:t xml:space="preserve">.</w:t>
        </w:r>
        <w:r>
          <w:rPr>
            <w:rStyle w:val="702"/>
            <w:rFonts w:eastAsia="Calibri"/>
            <w:sz w:val="24"/>
            <w:szCs w:val="24"/>
            <w:lang w:val="en-US" w:eastAsia="en-US"/>
          </w:rPr>
          <w:t xml:space="preserve">ru</w:t>
        </w:r>
      </w:hyperlink>
      <w:r>
        <w:rPr>
          <w:rFonts w:eastAsia="Calibri"/>
          <w:sz w:val="24"/>
          <w:szCs w:val="24"/>
          <w:u w:val="single"/>
          <w:lang w:eastAsia="en-US"/>
        </w:rPr>
        <w:t xml:space="preserve"> </w:t>
      </w:r>
      <w:r/>
    </w:p>
    <w:p>
      <w:pPr>
        <w:contextualSpacing/>
        <w:ind w:firstLine="0"/>
        <w:tabs>
          <w:tab w:val="left" w:pos="0" w:leader="none"/>
        </w:tabs>
        <w:rPr>
          <w:rFonts w:eastAsia="Calibri"/>
          <w:sz w:val="24"/>
          <w:szCs w:val="24"/>
          <w:u w:val="single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Контактное лицо</w:t>
      </w:r>
      <w:r>
        <w:rPr>
          <w:rFonts w:eastAsia="Calibri"/>
          <w:sz w:val="24"/>
          <w:szCs w:val="24"/>
          <w:lang w:eastAsia="en-US"/>
        </w:rPr>
        <w:t xml:space="preserve">: </w:t>
      </w:r>
      <w:r>
        <w:rPr>
          <w:rFonts w:eastAsia="Calibri"/>
          <w:sz w:val="24"/>
          <w:szCs w:val="24"/>
          <w:u w:val="single"/>
          <w:lang w:eastAsia="en-US"/>
        </w:rPr>
        <w:t xml:space="preserve">контрактный управляющий Трифонова Елена Викторовна</w:t>
      </w:r>
      <w:r/>
    </w:p>
    <w:p>
      <w:pPr>
        <w:contextualSpacing/>
        <w:ind w:firstLine="0"/>
        <w:tabs>
          <w:tab w:val="left" w:pos="0" w:leader="none"/>
        </w:tabs>
        <w:rPr>
          <w:rFonts w:eastAsia="Calibri"/>
          <w:sz w:val="24"/>
          <w:szCs w:val="24"/>
          <w:u w:val="single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Источник финансирования: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 xml:space="preserve">бюджет </w:t>
      </w:r>
      <w:r>
        <w:rPr>
          <w:sz w:val="24"/>
          <w:szCs w:val="24"/>
        </w:rPr>
        <w:t xml:space="preserve">муниципального</w:t>
      </w:r>
      <w:r>
        <w:rPr>
          <w:sz w:val="24"/>
          <w:szCs w:val="24"/>
        </w:rPr>
        <w:t xml:space="preserve"> округа Серебряные Пруды</w:t>
      </w:r>
      <w:r/>
    </w:p>
    <w:p>
      <w:pPr>
        <w:ind w:firstLine="0"/>
        <w:rPr>
          <w:b/>
          <w:sz w:val="24"/>
          <w:szCs w:val="28"/>
        </w:rPr>
      </w:pPr>
      <w:r>
        <w:rPr>
          <w:b/>
          <w:sz w:val="24"/>
          <w:szCs w:val="28"/>
        </w:rPr>
      </w:r>
      <w:r/>
    </w:p>
    <w:p>
      <w:pPr>
        <w:ind w:firstLine="0"/>
        <w:rPr>
          <w:b/>
          <w:color w:val="ff0000"/>
          <w:sz w:val="24"/>
          <w:szCs w:val="28"/>
        </w:rPr>
      </w:pPr>
      <w:r>
        <w:rPr>
          <w:b/>
          <w:sz w:val="24"/>
          <w:szCs w:val="28"/>
        </w:rPr>
        <w:t xml:space="preserve">Запрет по национальному режиму: </w:t>
      </w:r>
      <w:r/>
    </w:p>
    <w:p>
      <w:pPr>
        <w:ind w:firstLine="0"/>
        <w:rPr>
          <w:sz w:val="24"/>
          <w:szCs w:val="28"/>
        </w:rPr>
      </w:pPr>
      <w:r>
        <w:rPr>
          <w:sz w:val="24"/>
          <w:szCs w:val="28"/>
        </w:rPr>
        <w:t xml:space="preserve">1. </w:t>
      </w:r>
      <w:r>
        <w:rPr>
          <w:sz w:val="24"/>
          <w:szCs w:val="28"/>
        </w:rPr>
        <w:t xml:space="preserve">Запрет не установлен.</w:t>
      </w:r>
      <w:r/>
    </w:p>
    <w:p>
      <w:pPr>
        <w:ind w:firstLine="0"/>
        <w:tabs>
          <w:tab w:val="left" w:pos="0" w:leader="none"/>
        </w:tabs>
        <w:rPr>
          <w:b/>
        </w:rPr>
      </w:pPr>
      <w:r>
        <w:rPr>
          <w:rFonts w:eastAsia="Calibri"/>
          <w:b/>
          <w:sz w:val="24"/>
          <w:szCs w:val="24"/>
          <w:lang w:eastAsia="en-US"/>
        </w:rPr>
        <w:t xml:space="preserve">4.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  <w:r>
        <w:rPr>
          <w:rFonts w:eastAsia="Calibri"/>
          <w:b/>
          <w:sz w:val="24"/>
          <w:szCs w:val="24"/>
          <w:lang w:eastAsia="en-US"/>
        </w:rPr>
        <w:t xml:space="preserve">Описание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  <w:r>
        <w:rPr>
          <w:rFonts w:eastAsia="Calibri"/>
          <w:b/>
          <w:sz w:val="24"/>
          <w:szCs w:val="24"/>
          <w:lang w:eastAsia="en-US"/>
        </w:rPr>
        <w:t xml:space="preserve">объекта закупки</w:t>
      </w:r>
      <w:r>
        <w:rPr>
          <w:rFonts w:eastAsia="Calibri"/>
          <w:b/>
          <w:sz w:val="24"/>
          <w:szCs w:val="24"/>
          <w:lang w:eastAsia="en-US"/>
        </w:rPr>
        <w:t xml:space="preserve"> (</w:t>
      </w:r>
      <w:r>
        <w:rPr>
          <w:b/>
        </w:rPr>
        <w:t xml:space="preserve">о</w:t>
      </w:r>
      <w:r>
        <w:rPr>
          <w:b/>
        </w:rPr>
        <w:t xml:space="preserve">бъёмы и характеристики товара</w:t>
      </w:r>
      <w:r>
        <w:rPr>
          <w:b/>
        </w:rPr>
        <w:t xml:space="preserve">)</w:t>
      </w:r>
      <w:r>
        <w:rPr>
          <w:b/>
        </w:rPr>
        <w:t xml:space="preserve">.</w:t>
      </w:r>
      <w:r/>
    </w:p>
    <w:p>
      <w:pPr>
        <w:ind w:firstLine="0"/>
        <w:tabs>
          <w:tab w:val="left" w:pos="0" w:leader="none"/>
        </w:tabs>
        <w:rPr>
          <w:b/>
        </w:rPr>
      </w:pPr>
      <w:r>
        <w:rPr>
          <w:b/>
        </w:rPr>
      </w:r>
      <w:r/>
    </w:p>
    <w:p>
      <w:pPr>
        <w:ind w:firstLine="0"/>
        <w:tabs>
          <w:tab w:val="left" w:pos="0" w:leader="none"/>
        </w:tabs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4.1</w:t>
      </w:r>
      <w:r>
        <w:rPr>
          <w:rFonts w:eastAsia="Calibri"/>
          <w:b/>
          <w:sz w:val="24"/>
          <w:szCs w:val="24"/>
          <w:lang w:eastAsia="en-US"/>
        </w:rPr>
        <w:t xml:space="preserve">. </w:t>
      </w:r>
      <w:r>
        <w:rPr>
          <w:rFonts w:eastAsia="Calibri"/>
          <w:b/>
          <w:sz w:val="24"/>
          <w:szCs w:val="24"/>
          <w:lang w:eastAsia="en-US"/>
        </w:rPr>
        <w:t xml:space="preserve">Количество поставляемого товара, место поставки</w:t>
      </w:r>
      <w:r>
        <w:rPr>
          <w:rFonts w:eastAsia="Calibri"/>
          <w:b/>
          <w:sz w:val="24"/>
          <w:szCs w:val="24"/>
          <w:lang w:eastAsia="en-US"/>
        </w:rPr>
        <w:t xml:space="preserve">.</w:t>
      </w:r>
      <w:r/>
    </w:p>
    <w:p>
      <w:pPr>
        <w:ind w:firstLine="0"/>
        <w:widowControl w:val="off"/>
        <w:rPr>
          <w:rFonts w:eastAsia="Arial Unicode MS"/>
          <w:color w:val="538135" w:themeColor="accent6" w:themeShade="BF"/>
        </w:rPr>
      </w:pPr>
      <w:r>
        <w:rPr>
          <w:rFonts w:eastAsia="Arial Unicode MS"/>
          <w:color w:val="538135" w:themeColor="accent6" w:themeShade="BF"/>
        </w:rPr>
      </w:r>
      <w:r/>
    </w:p>
    <w:tbl>
      <w:tblPr>
        <w:tblW w:w="1105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4536"/>
        <w:gridCol w:w="708"/>
        <w:gridCol w:w="851"/>
        <w:gridCol w:w="1134"/>
      </w:tblGrid>
      <w:tr>
        <w:trPr>
          <w:trHeight w:val="600"/>
        </w:trPr>
        <w:tc>
          <w:tcPr>
            <w:shd w:val="clear" w:color="000000" w:fill="dfd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</w:rPr>
              <w:br/>
              <w:t xml:space="preserve">п/п</w:t>
            </w:r>
            <w:r/>
          </w:p>
        </w:tc>
        <w:tc>
          <w:tcPr>
            <w:shd w:val="clear" w:color="000000" w:fill="dfd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Наименование</w:t>
            </w:r>
            <w:r/>
          </w:p>
        </w:tc>
        <w:tc>
          <w:tcPr>
            <w:shd w:val="clear" w:color="000000" w:fill="dfd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Характеристики / Описание</w:t>
            </w:r>
            <w:r/>
          </w:p>
        </w:tc>
        <w:tc>
          <w:tcPr>
            <w:shd w:val="clear" w:color="000000" w:fill="dfd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Ед. изм.</w:t>
            </w:r>
            <w:r/>
          </w:p>
        </w:tc>
        <w:tc>
          <w:tcPr>
            <w:shd w:val="clear" w:color="000000" w:fill="dfd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Кол-во</w:t>
            </w:r>
            <w:r/>
          </w:p>
        </w:tc>
        <w:tc>
          <w:tcPr>
            <w:shd w:val="clear" w:color="000000" w:fill="dfd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Место поставки товара</w:t>
            </w:r>
            <w:r/>
          </w:p>
        </w:tc>
      </w:tr>
      <w:tr>
        <w:trPr>
          <w:trHeight w:val="60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694"/>
              <w:numPr>
                <w:ilvl w:val="0"/>
                <w:numId w:val="15"/>
              </w:num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Стол  дидактический 1100х450х580/940мм,  ОКПД 2  /КТРУ 31.01.12.121/31.01.12.121-00000019</w:t>
            </w:r>
            <w:r/>
          </w:p>
          <w:p>
            <w:pPr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771525" cy="771525"/>
                      <wp:effectExtent l="0" t="0" r="9525" b="9525"/>
                      <wp:docPr id="1" name="Image 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Image 2">
                                <a:hlinkClick r:id="rId11"/>
                              </pic:cNvPr>
                              <pic:cNvPicPr>
                                <a:picLocks noChangeArrowheads="1"/>
                              </pic:cNvPicPr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71525" cy="77152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60.8pt;height:60.8pt;mso-wrap-distance-left:0.0pt;mso-wrap-distance-top:0.0pt;mso-wrap-distance-right:0.0pt;mso-wrap-distance-bottom: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718"/>
              <w:ind w:right="675"/>
              <w:rPr>
                <w:spacing w:val="-5"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Стол</w:t>
            </w:r>
            <w:r>
              <w:rPr>
                <w:spacing w:val="-1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Сказка</w:t>
            </w:r>
            <w:r>
              <w:rPr>
                <w:spacing w:val="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1</w:t>
            </w:r>
            <w:r>
              <w:rPr>
                <w:spacing w:val="-1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дидактический</w:t>
            </w:r>
            <w:r>
              <w:rPr>
                <w:spacing w:val="-3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высота</w:t>
            </w:r>
            <w:r>
              <w:rPr>
                <w:spacing w:val="4"/>
                <w:sz w:val="18"/>
                <w:szCs w:val="20"/>
              </w:rPr>
              <w:t xml:space="preserve"> </w:t>
            </w:r>
            <w:r>
              <w:rPr>
                <w:spacing w:val="-5"/>
                <w:sz w:val="18"/>
                <w:szCs w:val="20"/>
              </w:rPr>
              <w:t xml:space="preserve">580</w:t>
            </w:r>
            <w:r/>
          </w:p>
          <w:p>
            <w:pPr>
              <w:pStyle w:val="718"/>
              <w:ind w:right="675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Серия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ТД</w:t>
            </w:r>
            <w:r>
              <w:rPr>
                <w:spacing w:val="40"/>
                <w:sz w:val="18"/>
                <w:szCs w:val="20"/>
              </w:rPr>
              <w:t xml:space="preserve"> </w:t>
            </w:r>
            <w:r>
              <w:rPr>
                <w:spacing w:val="-6"/>
                <w:sz w:val="18"/>
                <w:szCs w:val="20"/>
              </w:rPr>
              <w:t xml:space="preserve">ПД</w:t>
            </w:r>
            <w:r>
              <w:rPr>
                <w:sz w:val="18"/>
                <w:szCs w:val="20"/>
              </w:rPr>
              <w:t xml:space="preserve"> </w:t>
            </w:r>
            <w:r/>
          </w:p>
          <w:p>
            <w:pPr>
              <w:pStyle w:val="718"/>
              <w:ind w:right="675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ЛДСП</w:t>
            </w:r>
            <w:r>
              <w:rPr>
                <w:spacing w:val="1"/>
                <w:sz w:val="18"/>
                <w:szCs w:val="20"/>
              </w:rPr>
              <w:t xml:space="preserve"> </w:t>
            </w:r>
            <w:r>
              <w:rPr>
                <w:spacing w:val="-5"/>
                <w:sz w:val="18"/>
                <w:szCs w:val="20"/>
              </w:rPr>
              <w:t xml:space="preserve">БУК</w:t>
            </w:r>
            <w:r/>
          </w:p>
          <w:p>
            <w:pPr>
              <w:pStyle w:val="718"/>
              <w:ind w:right="675"/>
              <w:rPr>
                <w:spacing w:val="40"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Материал изготовления: ЛДСП 16 мм.</w:t>
            </w:r>
            <w:r>
              <w:rPr>
                <w:spacing w:val="40"/>
                <w:sz w:val="18"/>
                <w:szCs w:val="20"/>
              </w:rPr>
              <w:t xml:space="preserve"> </w:t>
            </w:r>
            <w:r/>
          </w:p>
          <w:p>
            <w:pPr>
              <w:pStyle w:val="718"/>
              <w:ind w:right="675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Торцы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облицованы</w:t>
            </w:r>
            <w:r>
              <w:rPr>
                <w:spacing w:val="-4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кромкой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ПВХ</w:t>
            </w:r>
            <w:r>
              <w:rPr>
                <w:spacing w:val="-4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0,4-2</w:t>
            </w:r>
            <w:r>
              <w:rPr>
                <w:spacing w:val="-4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мм.</w:t>
            </w:r>
            <w:r/>
          </w:p>
          <w:p>
            <w:pPr>
              <w:pStyle w:val="718"/>
              <w:ind w:left="27" w:right="16"/>
              <w:rPr>
                <w:sz w:val="18"/>
                <w:szCs w:val="20"/>
              </w:rPr>
            </w:pPr>
            <w:r>
              <w:rPr>
                <w:spacing w:val="-2"/>
                <w:sz w:val="18"/>
                <w:szCs w:val="20"/>
              </w:rPr>
              <w:t xml:space="preserve">Изделие</w:t>
            </w:r>
            <w:r>
              <w:rPr>
                <w:spacing w:val="22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 xml:space="preserve">укомплектовано</w:t>
            </w:r>
            <w:r>
              <w:rPr>
                <w:spacing w:val="15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 xml:space="preserve">пластиковыми</w:t>
            </w:r>
            <w:r>
              <w:rPr>
                <w:spacing w:val="9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 xml:space="preserve">подпятниками.</w:t>
            </w:r>
            <w:r/>
          </w:p>
          <w:p>
            <w:pPr>
              <w:pStyle w:val="718"/>
              <w:ind w:right="675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Размеры</w:t>
            </w:r>
            <w:r>
              <w:rPr>
                <w:spacing w:val="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(Д*Г*В):</w:t>
            </w:r>
            <w:r>
              <w:rPr>
                <w:spacing w:val="-1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 xml:space="preserve">1100х450х580/940мм.</w:t>
            </w:r>
            <w:r/>
          </w:p>
          <w:p>
            <w:pPr>
              <w:pStyle w:val="718"/>
              <w:ind w:right="1070"/>
              <w:rPr>
                <w:sz w:val="18"/>
                <w:szCs w:val="20"/>
              </w:rPr>
            </w:pPr>
            <w:r>
              <w:rPr>
                <w:spacing w:val="-2"/>
                <w:sz w:val="18"/>
                <w:szCs w:val="20"/>
              </w:rPr>
              <w:t xml:space="preserve">Вес:36кг</w:t>
            </w:r>
            <w:r>
              <w:rPr>
                <w:spacing w:val="40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 xml:space="preserve">Объём:0,06м/куб</w:t>
            </w:r>
            <w:r/>
          </w:p>
          <w:p>
            <w:pPr>
              <w:pStyle w:val="718"/>
              <w:ind w:left="29" w:right="1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Фигурная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задняя</w:t>
            </w:r>
            <w:r>
              <w:rPr>
                <w:spacing w:val="-3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стенка</w:t>
            </w:r>
            <w:r>
              <w:rPr>
                <w:spacing w:val="-2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изделия</w:t>
            </w:r>
            <w:r>
              <w:rPr>
                <w:spacing w:val="-3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выполнена</w:t>
            </w:r>
            <w:r>
              <w:rPr>
                <w:spacing w:val="-2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из</w:t>
            </w:r>
            <w:r>
              <w:rPr>
                <w:spacing w:val="-3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ЛДСП,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на</w:t>
            </w:r>
            <w:r>
              <w:rPr>
                <w:spacing w:val="-1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ней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расположена</w:t>
            </w:r>
            <w:r>
              <w:rPr>
                <w:spacing w:val="-1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1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открытая</w:t>
            </w:r>
            <w:r>
              <w:rPr>
                <w:spacing w:val="40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полка для хранения.</w:t>
            </w:r>
            <w:r/>
          </w:p>
          <w:p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sz w:val="18"/>
              </w:rPr>
              <w:t xml:space="preserve"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столешницей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есть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открытых</w:t>
            </w:r>
            <w:r>
              <w:rPr>
                <w:spacing w:val="-2"/>
                <w:sz w:val="18"/>
              </w:rPr>
              <w:t xml:space="preserve"> ниши.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Cs w:val="22"/>
              </w:rPr>
              <w:t xml:space="preserve">шт.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color w:val="000000"/>
                <w:sz w:val="18"/>
                <w:szCs w:val="24"/>
              </w:rPr>
            </w:pPr>
            <w:r>
              <w:rPr>
                <w:bCs/>
                <w:color w:val="000000"/>
                <w:sz w:val="18"/>
                <w:szCs w:val="24"/>
              </w:rPr>
              <w:t xml:space="preserve">П. Успенский, ул. 50 лет Октября, д. 10</w:t>
            </w:r>
            <w:r/>
          </w:p>
        </w:tc>
      </w:tr>
      <w:tr>
        <w:trPr>
          <w:trHeight w:val="60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694"/>
              <w:numPr>
                <w:ilvl w:val="0"/>
                <w:numId w:val="15"/>
              </w:num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Машинка "Джип", фанера, ОКПД 2  28.99.32.190</w:t>
            </w:r>
            <w:r/>
          </w:p>
          <w:p>
            <w:pPr>
              <w:ind w:firstLine="0"/>
              <w:rPr>
                <w:color w:val="000000"/>
                <w:sz w:val="24"/>
                <w:szCs w:val="24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809625" cy="676275"/>
                      <wp:effectExtent l="0" t="0" r="9525" b="9525"/>
                      <wp:docPr id="2" name="Image 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Image 8">
                                <a:hlinkClick r:id="rId13"/>
                              </pic:cNvPr>
                              <pic:cNvPicPr>
                                <a:picLocks noChangeArrowheads="1"/>
                              </pic:cNvPicPr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09625" cy="67627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63.8pt;height:53.2pt;mso-wrap-distance-left:0.0pt;mso-wrap-distance-top:0.0pt;mso-wrap-distance-right:0.0pt;mso-wrap-distance-bottom: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18"/>
              <w:rPr>
                <w:sz w:val="18"/>
                <w:szCs w:val="20"/>
              </w:rPr>
            </w:pPr>
            <w:r>
              <w:rPr>
                <w:spacing w:val="-2"/>
                <w:sz w:val="18"/>
                <w:szCs w:val="20"/>
              </w:rPr>
              <w:t xml:space="preserve">Возрастная</w:t>
            </w:r>
            <w:r>
              <w:rPr>
                <w:spacing w:val="13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 xml:space="preserve">группа:</w:t>
            </w:r>
            <w:r>
              <w:rPr>
                <w:spacing w:val="3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 xml:space="preserve">2-7</w:t>
            </w:r>
            <w:r>
              <w:rPr>
                <w:spacing w:val="9"/>
                <w:sz w:val="18"/>
                <w:szCs w:val="20"/>
              </w:rPr>
              <w:t xml:space="preserve"> </w:t>
            </w:r>
            <w:r>
              <w:rPr>
                <w:spacing w:val="-5"/>
                <w:sz w:val="18"/>
                <w:szCs w:val="20"/>
              </w:rPr>
              <w:t xml:space="preserve">лет</w:t>
            </w:r>
            <w:r/>
          </w:p>
          <w:p>
            <w:pPr>
              <w:pStyle w:val="718"/>
              <w:ind w:right="539"/>
              <w:rPr>
                <w:spacing w:val="40"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Материал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изделия:</w:t>
            </w:r>
            <w:r>
              <w:rPr>
                <w:spacing w:val="-4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влагостойкая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фанера</w:t>
            </w:r>
            <w:r>
              <w:rPr>
                <w:spacing w:val="-4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ФСФ</w:t>
            </w:r>
            <w:r>
              <w:rPr>
                <w:spacing w:val="-4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18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мм</w:t>
            </w:r>
            <w:r>
              <w:rPr>
                <w:spacing w:val="40"/>
                <w:sz w:val="18"/>
                <w:szCs w:val="20"/>
              </w:rPr>
              <w:t xml:space="preserve"> </w:t>
            </w:r>
            <w:r/>
          </w:p>
          <w:p>
            <w:pPr>
              <w:pStyle w:val="718"/>
              <w:ind w:right="539"/>
              <w:rPr>
                <w:spacing w:val="80"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Каркас:</w:t>
            </w:r>
            <w:r>
              <w:rPr>
                <w:spacing w:val="-2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металл, порошковая окраска</w:t>
            </w:r>
            <w:r>
              <w:rPr>
                <w:spacing w:val="80"/>
                <w:sz w:val="18"/>
                <w:szCs w:val="20"/>
              </w:rPr>
              <w:t xml:space="preserve"> </w:t>
            </w:r>
            <w:r/>
          </w:p>
          <w:p>
            <w:pPr>
              <w:pStyle w:val="718"/>
              <w:ind w:right="539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Размеры (ДхШхВ): 0,95 х 0,67 х 0,55 м</w:t>
            </w:r>
            <w:r/>
          </w:p>
          <w:p>
            <w:pPr>
              <w:ind w:firstLine="0"/>
              <w:rPr>
                <w:sz w:val="24"/>
                <w:szCs w:val="24"/>
              </w:rPr>
            </w:pPr>
            <w:r>
              <w:rPr>
                <w:spacing w:val="-2"/>
                <w:sz w:val="18"/>
              </w:rPr>
              <w:t xml:space="preserve">Вид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установки: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бетонирование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стоек,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возможен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переносной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вариант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2"/>
              </w:rPr>
              <w:t xml:space="preserve">шт.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sz w:val="18"/>
                <w:szCs w:val="24"/>
              </w:rPr>
            </w:pPr>
            <w:r>
              <w:rPr>
                <w:color w:val="000000"/>
                <w:sz w:val="18"/>
                <w:szCs w:val="24"/>
              </w:rPr>
              <w:t xml:space="preserve">П. Успенский, ул. Запрудная, д. 17</w:t>
            </w:r>
            <w:r/>
          </w:p>
        </w:tc>
      </w:tr>
      <w:tr>
        <w:trPr>
          <w:trHeight w:val="60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694"/>
              <w:numPr>
                <w:ilvl w:val="0"/>
                <w:numId w:val="15"/>
              </w:num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Детская игровая мебель «Комфорт-ЛОНГ», ОКПД 2  /КТРУ 32.40.42.199/32.40.40.000-00000003 </w:t>
            </w:r>
            <w:r/>
          </w:p>
          <w:p>
            <w:pPr>
              <w:ind w:firstLine="0"/>
              <w:rPr>
                <w:color w:val="000000"/>
                <w:sz w:val="24"/>
                <w:szCs w:val="24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009650" cy="457200"/>
                      <wp:effectExtent l="0" t="0" r="0" b="0"/>
                      <wp:docPr id="3" name="Image 9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Image 9">
                                <a:hlinkClick r:id="rId15"/>
                              </pic:cNvPr>
                              <pic:cNvPicPr>
                                <a:picLocks noChangeArrowheads="1"/>
                              </pic:cNvPicPr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009650" cy="4572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79.5pt;height:36.0pt;mso-wrap-distance-left:0.0pt;mso-wrap-distance-top:0.0pt;mso-wrap-distance-right:0.0pt;mso-wrap-distance-bottom: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18"/>
              <w:ind w:right="675"/>
              <w:rPr>
                <w:spacing w:val="-5"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Комплектация: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pacing w:val="-5"/>
                <w:sz w:val="18"/>
                <w:szCs w:val="20"/>
              </w:rPr>
              <w:t xml:space="preserve">Диван, 2 кресла</w:t>
            </w:r>
            <w:r/>
          </w:p>
          <w:p>
            <w:pPr>
              <w:pStyle w:val="718"/>
              <w:ind w:right="675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Размеры,</w:t>
            </w:r>
            <w:r>
              <w:rPr>
                <w:spacing w:val="-4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см</w:t>
            </w:r>
            <w:r>
              <w:rPr>
                <w:spacing w:val="-4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(ДхШхВ):</w:t>
            </w:r>
            <w:r>
              <w:rPr>
                <w:spacing w:val="40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45x40x50 – 2 шт.</w:t>
            </w:r>
            <w:r/>
          </w:p>
          <w:p>
            <w:pPr>
              <w:pStyle w:val="718"/>
              <w:ind w:left="960" w:right="950" w:firstLine="4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диван:</w:t>
            </w:r>
            <w:r>
              <w:rPr>
                <w:spacing w:val="4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105x40x50</w:t>
            </w:r>
            <w:r>
              <w:rPr>
                <w:spacing w:val="-4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–</w:t>
            </w:r>
            <w:r>
              <w:rPr>
                <w:spacing w:val="-3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 xml:space="preserve">1</w:t>
            </w:r>
            <w:r>
              <w:rPr>
                <w:spacing w:val="-4"/>
                <w:sz w:val="18"/>
                <w:szCs w:val="20"/>
              </w:rPr>
              <w:t xml:space="preserve"> </w:t>
            </w:r>
            <w:r>
              <w:rPr>
                <w:spacing w:val="-5"/>
                <w:sz w:val="18"/>
                <w:szCs w:val="20"/>
              </w:rPr>
              <w:t xml:space="preserve">шт.</w:t>
            </w:r>
            <w:r/>
          </w:p>
          <w:p>
            <w:pPr>
              <w:pStyle w:val="718"/>
              <w:ind w:right="677"/>
              <w:rPr>
                <w:sz w:val="18"/>
                <w:szCs w:val="20"/>
              </w:rPr>
            </w:pPr>
            <w:r>
              <w:rPr>
                <w:spacing w:val="-2"/>
                <w:sz w:val="18"/>
                <w:szCs w:val="20"/>
              </w:rPr>
              <w:t xml:space="preserve">Материал:</w:t>
            </w:r>
            <w:r>
              <w:rPr>
                <w:spacing w:val="4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 xml:space="preserve">ВИК</w:t>
            </w:r>
            <w:r>
              <w:rPr>
                <w:spacing w:val="14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 xml:space="preserve">(винилискожа),</w:t>
            </w:r>
            <w:r>
              <w:rPr>
                <w:spacing w:val="8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 xml:space="preserve">поролон.</w:t>
            </w:r>
            <w:r/>
          </w:p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18"/>
              </w:rPr>
              <w:t xml:space="preserve">Детская игровая мебель "Комфорт - ЛОНГ"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– удобная 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безопасная,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которая подойдет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как для ролевых игр; так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для оформления интерьера детской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комнаты, группы в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детско</w:t>
            </w:r>
            <w:r>
              <w:rPr>
                <w:sz w:val="18"/>
              </w:rPr>
              <w:t xml:space="preserve">м саду.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2"/>
              </w:rPr>
              <w:t xml:space="preserve">шт.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sz w:val="18"/>
                <w:szCs w:val="24"/>
              </w:rPr>
            </w:pPr>
            <w:r>
              <w:rPr>
                <w:color w:val="000000"/>
                <w:sz w:val="18"/>
                <w:szCs w:val="24"/>
              </w:rPr>
              <w:t xml:space="preserve">П. Успенский, ул. Запрудная, д. 17</w:t>
            </w:r>
            <w:r/>
          </w:p>
        </w:tc>
      </w:tr>
      <w:tr>
        <w:trPr>
          <w:trHeight w:val="60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Style w:val="694"/>
              <w:numPr>
                <w:ilvl w:val="0"/>
                <w:numId w:val="15"/>
              </w:num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ind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Сухой бассейн «Угловой», ОКПД 2  /КТРУ 32.40.42.199/32.40.40.000-00000002</w:t>
            </w:r>
            <w:r/>
          </w:p>
          <w:p>
            <w:pPr>
              <w:ind w:firstLine="0"/>
              <w:rPr>
                <w:color w:val="000000"/>
                <w:sz w:val="24"/>
                <w:szCs w:val="24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790575" cy="371475"/>
                      <wp:effectExtent l="0" t="0" r="9525" b="9525"/>
                      <wp:docPr id="4" name="Image 1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" name="Image 10">
                                <a:hlinkClick r:id="rId15"/>
                              </pic:cNvPr>
                              <pic:cNvPicPr>
                                <a:picLocks noChangeArrowheads="1"/>
                              </pic:cNvPicPr>
                              <pic:nvPr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90575" cy="37147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62.2pt;height:29.2pt;mso-wrap-distance-left:0.0pt;mso-wrap-distance-top:0.0pt;mso-wrap-distance-right:0.0pt;mso-wrap-distance-bottom:0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18"/>
              <w:ind w:right="677"/>
              <w:rPr>
                <w:sz w:val="18"/>
                <w:szCs w:val="20"/>
              </w:rPr>
            </w:pPr>
            <w:r>
              <w:rPr>
                <w:spacing w:val="-2"/>
                <w:sz w:val="18"/>
                <w:szCs w:val="20"/>
              </w:rPr>
              <w:t xml:space="preserve">Материал:</w:t>
            </w:r>
            <w:r>
              <w:rPr>
                <w:spacing w:val="4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 xml:space="preserve">ВИК</w:t>
            </w:r>
            <w:r>
              <w:rPr>
                <w:spacing w:val="14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 xml:space="preserve">(винилискожа),</w:t>
            </w:r>
            <w:r>
              <w:rPr>
                <w:spacing w:val="8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 xml:space="preserve">поролон.</w:t>
            </w:r>
            <w:r/>
          </w:p>
          <w:p>
            <w:pPr>
              <w:ind w:firstLine="0"/>
              <w:rPr>
                <w:spacing w:val="40"/>
                <w:sz w:val="18"/>
              </w:rPr>
            </w:pPr>
            <w:r>
              <w:rPr>
                <w:sz w:val="18"/>
              </w:rPr>
              <w:t xml:space="preserve">Размеры,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см: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радиус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 xml:space="preserve">- 150,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высота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 xml:space="preserve">- 40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(рекомендуемое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 xml:space="preserve">количество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 xml:space="preserve">шаров - 700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шт.)</w:t>
            </w:r>
            <w:r>
              <w:rPr>
                <w:spacing w:val="40"/>
                <w:sz w:val="18"/>
              </w:rPr>
              <w:t xml:space="preserve"> </w:t>
            </w:r>
            <w:r/>
          </w:p>
          <w:p>
            <w:pPr>
              <w:ind w:firstLine="0"/>
              <w:rPr>
                <w:sz w:val="24"/>
                <w:szCs w:val="24"/>
              </w:rPr>
            </w:pPr>
            <w:r>
              <w:rPr>
                <w:sz w:val="18"/>
              </w:rPr>
              <w:t xml:space="preserve">В комплекте шарики для сухого бассейна, диаметр — 5 см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Cs w:val="22"/>
              </w:rPr>
              <w:t xml:space="preserve">комплект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sz w:val="18"/>
                <w:szCs w:val="24"/>
              </w:rPr>
            </w:pPr>
            <w:r>
              <w:rPr>
                <w:color w:val="000000"/>
                <w:sz w:val="18"/>
                <w:szCs w:val="24"/>
              </w:rPr>
              <w:t xml:space="preserve">П. Успенский, ул. Запрудная, д. 17</w:t>
            </w:r>
            <w:r/>
          </w:p>
        </w:tc>
      </w:tr>
    </w:tbl>
    <w:p>
      <w:pPr>
        <w:ind w:firstLine="0"/>
        <w:tabs>
          <w:tab w:val="left" w:pos="0" w:leader="none"/>
        </w:tabs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  <w:r/>
    </w:p>
    <w:p>
      <w:pPr>
        <w:pStyle w:val="713"/>
        <w:jc w:val="both"/>
        <w:spacing w:before="0" w:beforeAutospacing="0" w:after="0" w:afterAutospacing="0"/>
        <w:shd w:val="clear" w:color="auto" w:fill="ffffff"/>
        <w:rPr>
          <w:sz w:val="22"/>
          <w:szCs w:val="28"/>
        </w:rPr>
      </w:pPr>
      <w:r>
        <w:rPr>
          <w:sz w:val="22"/>
          <w:szCs w:val="28"/>
        </w:rPr>
        <w:t xml:space="preserve">4.2. Все характеристики поставляемого Товара должны с</w:t>
      </w:r>
      <w:r>
        <w:rPr>
          <w:sz w:val="22"/>
          <w:szCs w:val="28"/>
        </w:rPr>
        <w:t xml:space="preserve">оответствовать или превосходить </w:t>
      </w:r>
      <w:r>
        <w:rPr>
          <w:sz w:val="22"/>
          <w:szCs w:val="28"/>
        </w:rPr>
        <w:t xml:space="preserve">минимальные технические характеристики, указанные в Техническом задании. </w:t>
      </w:r>
      <w:r/>
    </w:p>
    <w:p>
      <w:pPr>
        <w:pStyle w:val="713"/>
        <w:jc w:val="both"/>
        <w:spacing w:before="0" w:beforeAutospacing="0" w:after="0" w:afterAutospacing="0"/>
        <w:shd w:val="clear" w:color="auto" w:fill="ffffff"/>
        <w:rPr>
          <w:rStyle w:val="715"/>
          <w:sz w:val="18"/>
          <w:szCs w:val="28"/>
        </w:rPr>
      </w:pPr>
      <w:r>
        <w:rPr>
          <w:rStyle w:val="714"/>
          <w:sz w:val="22"/>
          <w:szCs w:val="28"/>
        </w:rPr>
        <w:t xml:space="preserve">4.3. </w:t>
      </w:r>
      <w:r>
        <w:rPr>
          <w:rStyle w:val="714"/>
          <w:sz w:val="22"/>
          <w:szCs w:val="28"/>
        </w:rPr>
        <w:t xml:space="preserve">Весь поставляемый Товар должен быть новым, т</w:t>
      </w:r>
      <w:r>
        <w:rPr>
          <w:rStyle w:val="714"/>
          <w:sz w:val="22"/>
          <w:szCs w:val="28"/>
        </w:rPr>
        <w:t xml:space="preserve">о есть не бывшим в употреблении</w:t>
      </w:r>
      <w:r>
        <w:rPr>
          <w:rStyle w:val="714"/>
          <w:sz w:val="22"/>
          <w:szCs w:val="28"/>
        </w:rPr>
        <w:t xml:space="preserve">, </w:t>
      </w:r>
      <w:r>
        <w:rPr>
          <w:rFonts w:eastAsia="Calibri"/>
          <w:sz w:val="22"/>
          <w:szCs w:val="28"/>
          <w:lang w:eastAsia="en-US"/>
        </w:rPr>
        <w:t xml:space="preserve">не   должен был использоваться в качестве выставочного образца, не должен быть восстановлен после ремонта.</w:t>
      </w:r>
      <w:r>
        <w:rPr>
          <w:rStyle w:val="714"/>
          <w:sz w:val="18"/>
          <w:szCs w:val="28"/>
        </w:rPr>
        <w:t xml:space="preserve"> </w:t>
      </w:r>
      <w:r>
        <w:rPr>
          <w:rStyle w:val="715"/>
          <w:sz w:val="18"/>
          <w:szCs w:val="28"/>
        </w:rPr>
        <w:t xml:space="preserve"> </w:t>
      </w:r>
      <w:r/>
    </w:p>
    <w:p>
      <w:pPr>
        <w:pStyle w:val="713"/>
        <w:jc w:val="both"/>
        <w:spacing w:before="0" w:beforeAutospacing="0" w:after="0" w:afterAutospacing="0"/>
        <w:shd w:val="clear" w:color="auto" w:fill="ffffff"/>
      </w:pPr>
      <w:r>
        <w:t xml:space="preserve">4.4. Товар не должен представлять опасности для жизни и здоровья граждан.</w:t>
      </w:r>
      <w:r/>
    </w:p>
    <w:p>
      <w:pPr>
        <w:ind w:firstLine="0"/>
        <w:tabs>
          <w:tab w:val="left" w:pos="0" w:leader="none"/>
        </w:tabs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  <w:r/>
    </w:p>
    <w:p>
      <w:pPr>
        <w:ind w:firstLine="0"/>
        <w:tabs>
          <w:tab w:val="left" w:pos="0" w:leader="none"/>
        </w:tabs>
        <w:rPr>
          <w:rFonts w:eastAsia="Calibri"/>
          <w:color w:val="ff0000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4.5</w:t>
      </w:r>
      <w:r>
        <w:rPr>
          <w:rFonts w:eastAsia="Calibri"/>
          <w:b/>
          <w:sz w:val="24"/>
          <w:szCs w:val="24"/>
          <w:lang w:eastAsia="en-US"/>
        </w:rPr>
        <w:t xml:space="preserve">. </w:t>
      </w:r>
      <w:r>
        <w:rPr>
          <w:rFonts w:eastAsia="Calibri"/>
          <w:b/>
          <w:sz w:val="24"/>
          <w:szCs w:val="24"/>
          <w:lang w:eastAsia="en-US"/>
        </w:rPr>
        <w:t xml:space="preserve">Соответствие</w:t>
      </w:r>
      <w:r>
        <w:rPr>
          <w:rFonts w:eastAsia="Calibri"/>
          <w:b/>
          <w:sz w:val="24"/>
          <w:szCs w:val="24"/>
          <w:lang w:eastAsia="en-US"/>
        </w:rPr>
        <w:t xml:space="preserve"> технически</w:t>
      </w:r>
      <w:r>
        <w:rPr>
          <w:rFonts w:eastAsia="Calibri"/>
          <w:b/>
          <w:sz w:val="24"/>
          <w:szCs w:val="24"/>
          <w:lang w:eastAsia="en-US"/>
        </w:rPr>
        <w:t xml:space="preserve">м</w:t>
      </w:r>
      <w:r>
        <w:rPr>
          <w:rFonts w:eastAsia="Calibri"/>
          <w:b/>
          <w:sz w:val="24"/>
          <w:szCs w:val="24"/>
          <w:lang w:eastAsia="en-US"/>
        </w:rPr>
        <w:t xml:space="preserve"> регламент</w:t>
      </w:r>
      <w:r>
        <w:rPr>
          <w:rFonts w:eastAsia="Calibri"/>
          <w:b/>
          <w:sz w:val="24"/>
          <w:szCs w:val="24"/>
          <w:lang w:eastAsia="en-US"/>
        </w:rPr>
        <w:t xml:space="preserve">ам,</w:t>
      </w:r>
      <w:r>
        <w:rPr>
          <w:rFonts w:eastAsia="Calibri"/>
          <w:b/>
          <w:sz w:val="24"/>
          <w:szCs w:val="24"/>
          <w:lang w:eastAsia="en-US"/>
        </w:rPr>
        <w:t xml:space="preserve"> т</w:t>
      </w:r>
      <w:r>
        <w:rPr>
          <w:b/>
          <w:sz w:val="24"/>
          <w:szCs w:val="24"/>
        </w:rPr>
        <w:t xml:space="preserve">ребования к качеству поставляемого товара</w:t>
      </w:r>
      <w:r>
        <w:rPr>
          <w:b/>
          <w:sz w:val="24"/>
          <w:szCs w:val="24"/>
        </w:rPr>
        <w:t xml:space="preserve"> и документам на товар</w:t>
      </w:r>
      <w:r>
        <w:rPr>
          <w:b/>
          <w:sz w:val="24"/>
          <w:szCs w:val="24"/>
        </w:rPr>
        <w:t xml:space="preserve">.</w:t>
      </w:r>
      <w:r/>
    </w:p>
    <w:p>
      <w:pPr>
        <w:ind w:firstLine="0"/>
        <w:rPr>
          <w:szCs w:val="24"/>
        </w:rPr>
      </w:pPr>
      <w:r>
        <w:rPr>
          <w:szCs w:val="24"/>
        </w:rPr>
        <w:t xml:space="preserve">4.</w:t>
      </w:r>
      <w:r>
        <w:rPr>
          <w:szCs w:val="24"/>
        </w:rPr>
        <w:t xml:space="preserve">5</w:t>
      </w:r>
      <w:r>
        <w:rPr>
          <w:szCs w:val="24"/>
        </w:rPr>
        <w:t xml:space="preserve">.1 Поставка товара должна быть осуществлена с предоставлением сертификатов соответствия на каждую партию товара. Качество Товара должно соответств</w:t>
      </w:r>
      <w:r>
        <w:rPr>
          <w:szCs w:val="24"/>
        </w:rPr>
        <w:t xml:space="preserve">овать требованиям, указанным в </w:t>
      </w:r>
      <w:r>
        <w:rPr>
          <w:szCs w:val="24"/>
        </w:rPr>
        <w:t xml:space="preserve">характеристиках товара применительно к каждой единице Товара, подтвержденное соответствующими документами.</w:t>
      </w:r>
      <w:r/>
    </w:p>
    <w:p>
      <w:pPr>
        <w:ind w:firstLine="0"/>
        <w:rPr>
          <w:szCs w:val="24"/>
        </w:rPr>
      </w:pPr>
      <w:r>
        <w:rPr>
          <w:szCs w:val="24"/>
        </w:rPr>
        <w:t xml:space="preserve">4.</w:t>
      </w:r>
      <w:r>
        <w:rPr>
          <w:szCs w:val="24"/>
        </w:rPr>
        <w:t xml:space="preserve">5</w:t>
      </w:r>
      <w:r>
        <w:rPr>
          <w:szCs w:val="24"/>
        </w:rPr>
        <w:t xml:space="preserve">.2. </w:t>
      </w:r>
      <w:r>
        <w:t xml:space="preserve">Соответствие качества товара должно быть подтверждено:</w:t>
      </w:r>
      <w:r/>
    </w:p>
    <w:p>
      <w:pPr>
        <w:ind w:firstLine="0"/>
        <w:rPr>
          <w:szCs w:val="24"/>
        </w:rPr>
      </w:pPr>
      <w:r>
        <w:t xml:space="preserve">- регистрационным удостоверением (копией) Министерства здравоохранения и социального развития РФ (при необходимости); </w:t>
      </w:r>
      <w:r/>
    </w:p>
    <w:p>
      <w:pPr>
        <w:ind w:firstLine="0"/>
        <w:rPr>
          <w:szCs w:val="24"/>
        </w:rPr>
      </w:pPr>
      <w:r>
        <w:t xml:space="preserve">-  паспортом или протоколом лабораторных испытаний (при необходимости); </w:t>
      </w:r>
      <w:r/>
    </w:p>
    <w:p>
      <w:pPr>
        <w:ind w:firstLine="0"/>
        <w:rPr>
          <w:szCs w:val="24"/>
        </w:rPr>
      </w:pPr>
      <w:r>
        <w:t xml:space="preserve">-   сертификатом соответствия Госстандарта РФ </w:t>
      </w:r>
      <w:r>
        <w:t xml:space="preserve">(декларацией о соответствии);</w:t>
      </w:r>
      <w:r/>
    </w:p>
    <w:p>
      <w:pPr>
        <w:ind w:firstLine="0"/>
        <w:rPr>
          <w:szCs w:val="24"/>
        </w:rPr>
      </w:pPr>
      <w:r>
        <w:t xml:space="preserve">- сертификатом (паспортом) качества производителя, другими документами по качеству, предусмотренными законодательством РФ; </w:t>
      </w:r>
      <w:r/>
    </w:p>
    <w:p>
      <w:pPr>
        <w:ind w:firstLine="0"/>
      </w:pPr>
      <w:r>
        <w:t xml:space="preserve">4.5.3. </w:t>
      </w:r>
      <w:r>
        <w:t xml:space="preserve">Наименование поставляемого товара, указанного в товарной накладной, должно точно соответствовать наименованию в регистрационном удостоверении и сертификате соответствия.</w:t>
      </w:r>
      <w:r/>
    </w:p>
    <w:p>
      <w:pPr>
        <w:ind w:firstLine="0"/>
      </w:pPr>
      <w:r>
        <w:t xml:space="preserve">4.5.4. </w:t>
      </w:r>
      <w:r>
        <w:t xml:space="preserve">При наличии на товарной упаковке индивидуального кода товара, в товарной накладной указывается код с наименованием, прописанным в спецификации Договора.</w:t>
      </w:r>
      <w:r/>
    </w:p>
    <w:p>
      <w:pPr>
        <w:ind w:firstLine="0"/>
        <w:rPr>
          <w:szCs w:val="24"/>
        </w:rPr>
      </w:pPr>
      <w:r>
        <w:rPr>
          <w:szCs w:val="24"/>
        </w:rPr>
        <w:t xml:space="preserve">4.5.5. </w:t>
      </w:r>
      <w:r>
        <w:rPr>
          <w:szCs w:val="24"/>
        </w:rPr>
        <w:t xml:space="preserve">Наименование Товара и производитель поставляемых Товаров, должны соответствовать наименованию Товара и его производителю, указанным в представляемых </w:t>
      </w:r>
      <w:r>
        <w:rPr>
          <w:szCs w:val="24"/>
        </w:rPr>
        <w:t xml:space="preserve">при поставке Товара документах.</w:t>
      </w:r>
      <w:r/>
    </w:p>
    <w:p>
      <w:pPr>
        <w:ind w:firstLine="0"/>
        <w:rPr>
          <w:bCs/>
          <w:iCs/>
          <w:sz w:val="24"/>
          <w:szCs w:val="28"/>
        </w:rPr>
      </w:pPr>
      <w:r>
        <w:rPr>
          <w:b/>
          <w:bCs/>
          <w:iCs/>
          <w:sz w:val="24"/>
          <w:szCs w:val="28"/>
        </w:rPr>
        <w:t xml:space="preserve">4.6</w:t>
      </w:r>
      <w:r>
        <w:rPr>
          <w:b/>
          <w:bCs/>
          <w:iCs/>
          <w:sz w:val="24"/>
          <w:szCs w:val="28"/>
        </w:rPr>
        <w:t xml:space="preserve">. Требования к поставке товара:</w:t>
      </w:r>
      <w:r>
        <w:rPr>
          <w:bCs/>
          <w:iCs/>
          <w:sz w:val="24"/>
          <w:szCs w:val="28"/>
        </w:rPr>
        <w:t xml:space="preserve"> </w:t>
      </w:r>
      <w:r/>
    </w:p>
    <w:p>
      <w:pPr>
        <w:ind w:firstLine="0"/>
        <w:rPr>
          <w:bCs/>
          <w:iCs/>
          <w:szCs w:val="28"/>
        </w:rPr>
      </w:pPr>
      <w:r>
        <w:rPr>
          <w:bCs/>
          <w:iCs/>
          <w:szCs w:val="28"/>
        </w:rPr>
        <w:t xml:space="preserve">4.6.1. Товар   должен доставляться по адресу учреждения силами и средствами Поставщика в любой день недели, кроме выходных, в рабочее время с 8.00 до 17:00. </w:t>
      </w:r>
      <w:r/>
    </w:p>
    <w:p>
      <w:pPr>
        <w:ind w:firstLine="0"/>
        <w:rPr>
          <w:szCs w:val="24"/>
        </w:rPr>
      </w:pPr>
      <w:r>
        <w:rPr>
          <w:bCs/>
          <w:iCs/>
          <w:szCs w:val="28"/>
        </w:rPr>
        <w:t xml:space="preserve">4.6.2. Товар поставляется в упаковке, обеспечивающей его сохранность при транспортировке и хранении. Упаковка не должна содержать вскрытий, вмятин, порезов.</w:t>
      </w:r>
      <w:r>
        <w:rPr>
          <w:bCs/>
          <w:iCs/>
          <w:sz w:val="24"/>
          <w:szCs w:val="28"/>
        </w:rPr>
        <w:t xml:space="preserve"> </w:t>
      </w:r>
      <w:r>
        <w:rPr>
          <w:szCs w:val="24"/>
        </w:rPr>
        <w:t xml:space="preserve">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</w:t>
      </w:r>
      <w:r/>
    </w:p>
    <w:p>
      <w:pPr>
        <w:ind w:firstLine="0"/>
        <w:rPr>
          <w:szCs w:val="24"/>
        </w:rPr>
      </w:pPr>
      <w:r>
        <w:rPr>
          <w:szCs w:val="24"/>
        </w:rPr>
        <w:t xml:space="preserve">4.6.3. Качество</w:t>
      </w:r>
      <w:r>
        <w:rPr>
          <w:szCs w:val="24"/>
        </w:rPr>
        <w:t xml:space="preserve">, маркировка, упаковка поставляемого Товара должны соответствовать государственным стандартам, образцам завода-изготовителя и подтверждаться соответствующими документами в установленном порядке (сертификат соответствия, регистрационное удостоверение и др.)</w:t>
      </w:r>
      <w:r/>
    </w:p>
    <w:p>
      <w:pPr>
        <w:ind w:firstLine="0"/>
        <w:rPr>
          <w:szCs w:val="24"/>
        </w:rPr>
      </w:pPr>
      <w:r>
        <w:rPr>
          <w:szCs w:val="24"/>
        </w:rPr>
        <w:t xml:space="preserve">4.6.4. Доставка Товара должна осуществляться с соблюдением требований действующего законодательства Российской Федерации, предъявляемых к транспортировке Товаров.</w:t>
      </w:r>
      <w:r/>
    </w:p>
    <w:p>
      <w:pPr>
        <w:ind w:firstLine="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  <w:r/>
    </w:p>
    <w:p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</w:t>
      </w:r>
      <w:r>
        <w:rPr>
          <w:b/>
          <w:sz w:val="24"/>
          <w:szCs w:val="24"/>
        </w:rPr>
        <w:t xml:space="preserve">. </w:t>
      </w:r>
      <w:r>
        <w:rPr>
          <w:rFonts w:eastAsia="Calibri"/>
          <w:b/>
          <w:sz w:val="24"/>
          <w:szCs w:val="24"/>
          <w:lang w:eastAsia="en-US"/>
        </w:rPr>
        <w:t xml:space="preserve">Гарантийные обязательства:</w:t>
      </w:r>
      <w:r/>
    </w:p>
    <w:p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сроку и объему предоставления гарантий качества</w:t>
      </w:r>
      <w:r/>
    </w:p>
    <w:p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5</w:t>
      </w:r>
      <w:r>
        <w:rPr>
          <w:sz w:val="24"/>
          <w:szCs w:val="24"/>
        </w:rPr>
        <w:t xml:space="preserve">.1. </w:t>
      </w:r>
      <w:r>
        <w:rPr>
          <w:szCs w:val="28"/>
        </w:rPr>
        <w:t xml:space="preserve">Гарантийные обязательства Поставщика должны распространяться на весь по</w:t>
      </w:r>
      <w:r>
        <w:rPr>
          <w:szCs w:val="28"/>
        </w:rPr>
        <w:t xml:space="preserve">ставляемый Товар</w:t>
      </w:r>
      <w:r>
        <w:rPr>
          <w:sz w:val="24"/>
          <w:szCs w:val="24"/>
        </w:rPr>
        <w:t xml:space="preserve">.</w:t>
      </w:r>
      <w:r/>
    </w:p>
    <w:p>
      <w:pPr>
        <w:ind w:firstLine="0"/>
        <w:tabs>
          <w:tab w:val="left" w:pos="0" w:leader="none"/>
        </w:tabs>
        <w:rPr>
          <w:szCs w:val="22"/>
        </w:rPr>
      </w:pPr>
      <w:r>
        <w:rPr>
          <w:szCs w:val="22"/>
        </w:rPr>
        <w:t xml:space="preserve">Качество товара должно соотв</w:t>
      </w:r>
      <w:r>
        <w:rPr>
          <w:szCs w:val="22"/>
        </w:rPr>
        <w:t xml:space="preserve">етствовать техническим данным, </w:t>
      </w:r>
      <w:r>
        <w:rPr>
          <w:szCs w:val="22"/>
        </w:rPr>
        <w:t xml:space="preserve">заявленным производителем. Гарантийный срок на товар соответствует гарантийному сроку, заявленному изготовителем.  </w:t>
      </w:r>
      <w:r/>
    </w:p>
    <w:p>
      <w:pPr>
        <w:ind w:firstLine="0"/>
        <w:rPr>
          <w:b/>
          <w:szCs w:val="24"/>
        </w:rPr>
      </w:pPr>
      <w:r>
        <w:rPr>
          <w:szCs w:val="24"/>
        </w:rPr>
        <w:t xml:space="preserve">5</w:t>
      </w:r>
      <w:r>
        <w:rPr>
          <w:szCs w:val="24"/>
        </w:rPr>
        <w:t xml:space="preserve">.2.</w:t>
      </w:r>
      <w:r>
        <w:rPr>
          <w:b/>
          <w:szCs w:val="24"/>
        </w:rPr>
        <w:t xml:space="preserve"> </w:t>
      </w:r>
      <w:r>
        <w:rPr>
          <w:szCs w:val="24"/>
        </w:rPr>
        <w:t xml:space="preserve">Срок, в течение которого «Поставщик» принимает претензии на обнаруженные дефекты после подписан</w:t>
      </w:r>
      <w:r>
        <w:rPr>
          <w:szCs w:val="24"/>
        </w:rPr>
        <w:t xml:space="preserve">ия товарной накладной, </w:t>
      </w:r>
      <w:r>
        <w:rPr>
          <w:szCs w:val="24"/>
        </w:rPr>
        <w:t xml:space="preserve">должен быть не менее срока годности, установленного производителем данного товара</w:t>
      </w:r>
      <w:r/>
    </w:p>
    <w:p>
      <w:pPr>
        <w:ind w:firstLine="0"/>
        <w:rPr>
          <w:szCs w:val="24"/>
        </w:rPr>
      </w:pPr>
      <w:r>
        <w:rPr>
          <w:szCs w:val="24"/>
        </w:rPr>
        <w:t xml:space="preserve">5</w:t>
      </w:r>
      <w:r>
        <w:rPr>
          <w:szCs w:val="24"/>
        </w:rPr>
        <w:t xml:space="preserve">.3. Срок устранения дефектов с момента получения извещения об обнаружении дефектов должен составлять не более 24 часов.</w:t>
      </w:r>
      <w:r/>
    </w:p>
    <w:p>
      <w:pPr>
        <w:ind w:firstLine="0"/>
        <w:tabs>
          <w:tab w:val="left" w:pos="0" w:leader="none"/>
        </w:tabs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5</w:t>
      </w:r>
      <w:r>
        <w:rPr>
          <w:rFonts w:eastAsia="Calibri"/>
          <w:sz w:val="24"/>
          <w:szCs w:val="24"/>
          <w:lang w:eastAsia="en-US"/>
        </w:rPr>
        <w:t xml:space="preserve">.4. </w:t>
      </w:r>
      <w:r>
        <w:rPr>
          <w:szCs w:val="28"/>
        </w:rPr>
        <w:t xml:space="preserve">Срок гарантии Поставщика на поставляемый по настоящему договору товар составляет не менее 12 месяцев. Начальной датой гарантии является дата подписания товарной накладной.</w:t>
      </w:r>
      <w:r/>
    </w:p>
    <w:p>
      <w:pPr>
        <w:ind w:firstLine="0"/>
        <w:tabs>
          <w:tab w:val="left" w:pos="172" w:leader="none"/>
        </w:tabs>
        <w:rPr>
          <w:szCs w:val="28"/>
        </w:rPr>
      </w:pPr>
      <w:r>
        <w:rPr>
          <w:szCs w:val="28"/>
        </w:rPr>
        <w:t xml:space="preserve">5.5. В течение гарантийного срока Поставщик обеспечивает за свой счет устранение и исправление выявленных недостатков, возникших в процессе эксплуатации Товара, в том числе устранение заводских дефектов, в случае признания такого случая гарантийным.</w:t>
      </w:r>
      <w:r/>
    </w:p>
    <w:p>
      <w:pPr>
        <w:ind w:firstLine="0"/>
        <w:tabs>
          <w:tab w:val="left" w:pos="172" w:leader="none"/>
        </w:tabs>
        <w:rPr>
          <w:szCs w:val="28"/>
        </w:rPr>
      </w:pPr>
      <w:r>
        <w:rPr>
          <w:szCs w:val="28"/>
        </w:rPr>
        <w:t xml:space="preserve">5.6. В случае невозможности устранения недостатков Поставщик за свой счет производит замену товара с такими же техническими характеристиками в срок, установленный в письменном требовании Заказчика.</w:t>
      </w:r>
      <w:r>
        <w:rPr>
          <w:szCs w:val="28"/>
          <w:highlight w:val="yellow"/>
          <w:shd w:val="clear" w:color="auto" w:fill="ffffff"/>
        </w:rPr>
        <w:t xml:space="preserve"> </w:t>
      </w:r>
      <w:r/>
    </w:p>
    <w:p>
      <w:pPr>
        <w:ind w:firstLine="0"/>
        <w:tabs>
          <w:tab w:val="left" w:pos="172" w:leader="none"/>
        </w:tabs>
        <w:rPr>
          <w:szCs w:val="28"/>
        </w:rPr>
      </w:pPr>
      <w:r>
        <w:rPr>
          <w:szCs w:val="28"/>
        </w:rPr>
        <w:t xml:space="preserve">5.7. В случае выявления недостатков Товара (или его частей) гарантийный срок должен быть продлен на период устранения недостатков. Наличие дефектов (недостатков) и сроки их устранения фиксируются двухсторонним</w:t>
      </w:r>
      <w:r>
        <w:rPr>
          <w:szCs w:val="28"/>
        </w:rPr>
        <w:t xml:space="preserve"> актом Поставщика и Заказчика. Для участия в составлении акта, фиксирующего дефекты, согласования порядка и сроков их устранения, Поставщик обязан направить своего представителя не позднее двух рабочих дней со дня получения письменного извещения Заказчика.</w:t>
      </w:r>
      <w:r/>
    </w:p>
    <w:p>
      <w:pPr>
        <w:ind w:firstLine="0"/>
        <w:tabs>
          <w:tab w:val="left" w:pos="172" w:leader="none"/>
        </w:tabs>
        <w:rPr>
          <w:szCs w:val="28"/>
        </w:rPr>
      </w:pPr>
      <w:r>
        <w:rPr>
          <w:szCs w:val="28"/>
        </w:rPr>
        <w:t xml:space="preserve">5.8. В целях установления факта поставки некачественного Товара Заказчик вправе привлечь независимую экспертную организацию.</w:t>
      </w:r>
      <w:r/>
    </w:p>
    <w:p>
      <w:pPr>
        <w:ind w:firstLine="0"/>
        <w:tabs>
          <w:tab w:val="left" w:pos="172" w:leader="none"/>
        </w:tabs>
        <w:rPr>
          <w:szCs w:val="28"/>
        </w:rPr>
      </w:pPr>
      <w:r>
        <w:rPr>
          <w:szCs w:val="28"/>
        </w:rPr>
        <w:t xml:space="preserve">5.9.</w:t>
      </w:r>
      <w:r>
        <w:rPr>
          <w:szCs w:val="28"/>
        </w:rPr>
        <w:t xml:space="preserve"> </w:t>
      </w:r>
      <w:r>
        <w:rPr>
          <w:szCs w:val="28"/>
        </w:rPr>
        <w:t xml:space="preserve">Указанные гарантии не распространяются на случаи преднамеренного повреждения Товара со стороны третьих лиц (вандализм), а также случаи неправильной эксплуатации Товара.</w:t>
      </w:r>
      <w:r/>
    </w:p>
    <w:p>
      <w:pPr>
        <w:ind w:firstLine="0"/>
        <w:tabs>
          <w:tab w:val="left" w:pos="0" w:leader="none"/>
        </w:tabs>
        <w:rPr>
          <w:rFonts w:eastAsia="Calibri"/>
          <w:color w:val="ff0000"/>
          <w:sz w:val="24"/>
          <w:szCs w:val="24"/>
          <w:lang w:eastAsia="en-US"/>
        </w:rPr>
      </w:pPr>
      <w:r>
        <w:rPr>
          <w:rFonts w:eastAsia="Calibri"/>
          <w:color w:val="ff0000"/>
          <w:sz w:val="24"/>
          <w:szCs w:val="24"/>
          <w:lang w:eastAsia="en-US"/>
        </w:rPr>
      </w:r>
      <w:r/>
    </w:p>
    <w:p>
      <w:pPr>
        <w:ind w:firstLine="0"/>
        <w:rPr>
          <w:rFonts w:eastAsia="Calibri"/>
          <w:b/>
          <w:sz w:val="24"/>
          <w:lang w:eastAsia="en-US"/>
        </w:rPr>
      </w:pPr>
      <w:r>
        <w:rPr>
          <w:rFonts w:eastAsia="Calibri"/>
          <w:b/>
          <w:sz w:val="24"/>
          <w:lang w:eastAsia="en-US"/>
        </w:rPr>
        <w:t xml:space="preserve">6</w:t>
      </w:r>
      <w:r>
        <w:rPr>
          <w:rFonts w:eastAsia="Calibri"/>
          <w:b/>
          <w:sz w:val="24"/>
          <w:lang w:eastAsia="en-US"/>
        </w:rPr>
        <w:t xml:space="preserve">. Адрес </w:t>
      </w:r>
      <w:r>
        <w:rPr>
          <w:rFonts w:eastAsia="Calibri"/>
          <w:b/>
          <w:sz w:val="24"/>
          <w:lang w:eastAsia="en-US"/>
        </w:rPr>
        <w:t xml:space="preserve">места поставки товара</w:t>
      </w:r>
      <w:r>
        <w:rPr>
          <w:rFonts w:eastAsia="Calibri"/>
          <w:b/>
          <w:sz w:val="24"/>
          <w:lang w:eastAsia="en-US"/>
        </w:rPr>
        <w:t xml:space="preserve">, срок</w:t>
      </w:r>
      <w:r>
        <w:rPr>
          <w:rFonts w:eastAsia="Calibri"/>
          <w:b/>
          <w:sz w:val="24"/>
          <w:lang w:eastAsia="en-US"/>
        </w:rPr>
        <w:t xml:space="preserve"> </w:t>
      </w:r>
      <w:r>
        <w:rPr>
          <w:rFonts w:eastAsia="Calibri"/>
          <w:b/>
          <w:sz w:val="24"/>
          <w:lang w:eastAsia="en-US"/>
        </w:rPr>
        <w:t xml:space="preserve">поставки</w:t>
      </w:r>
      <w:r>
        <w:rPr>
          <w:rFonts w:eastAsia="Calibri"/>
          <w:b/>
          <w:sz w:val="24"/>
          <w:lang w:eastAsia="en-US"/>
        </w:rPr>
        <w:t xml:space="preserve">.  </w:t>
      </w:r>
      <w:r/>
    </w:p>
    <w:p>
      <w:pPr>
        <w:ind w:firstLine="0"/>
      </w:pPr>
      <w:r>
        <w:t xml:space="preserve">6.1. </w:t>
      </w:r>
      <w:r>
        <w:t xml:space="preserve">Поставка товара осуществляется по месту нахождения</w:t>
      </w:r>
      <w:r>
        <w:t xml:space="preserve"> Заказчика по адресу: </w:t>
      </w:r>
      <w:r/>
    </w:p>
    <w:p>
      <w:pPr>
        <w:pStyle w:val="694"/>
        <w:numPr>
          <w:ilvl w:val="0"/>
          <w:numId w:val="12"/>
        </w:numPr>
        <w:rPr>
          <w:b/>
        </w:rPr>
      </w:pPr>
      <w:r>
        <w:rPr>
          <w:b/>
        </w:rPr>
        <w:t xml:space="preserve">Московская область, м.о. Серебряные Пруды, п. Успенский, ул. 50 лет Октября, д.10</w:t>
      </w:r>
      <w:r/>
    </w:p>
    <w:p>
      <w:pPr>
        <w:pStyle w:val="694"/>
        <w:numPr>
          <w:ilvl w:val="0"/>
          <w:numId w:val="12"/>
        </w:numPr>
        <w:rPr>
          <w:b/>
        </w:rPr>
      </w:pPr>
      <w:r>
        <w:rPr>
          <w:b/>
        </w:rPr>
        <w:t xml:space="preserve">Московская область, м.о. Серебряные Пруды, п. Успенский, ул. Запрудная, д.17</w:t>
      </w:r>
      <w:r/>
    </w:p>
    <w:p>
      <w:pPr>
        <w:ind w:firstLine="0"/>
        <w:rPr>
          <w:vanish/>
        </w:rPr>
      </w:pPr>
      <w:r>
        <w:rPr>
          <w:vanish/>
        </w:rPr>
      </w:r>
      <w:r/>
    </w:p>
    <w:p>
      <w:pPr>
        <w:ind w:firstLine="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/>
    </w:p>
    <w:p>
      <w:pPr>
        <w:ind w:firstLine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6.2.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 xml:space="preserve">Сроки </w:t>
      </w:r>
      <w:r>
        <w:rPr>
          <w:rFonts w:eastAsia="Calibri"/>
          <w:lang w:eastAsia="en-US"/>
        </w:rPr>
        <w:t xml:space="preserve">поставки товара</w:t>
      </w:r>
      <w:r>
        <w:rPr>
          <w:rFonts w:eastAsia="Calibri"/>
          <w:lang w:eastAsia="en-US"/>
        </w:rPr>
        <w:t xml:space="preserve">: с </w:t>
      </w:r>
      <w:r>
        <w:rPr>
          <w:rFonts w:eastAsia="Calibri"/>
          <w:lang w:eastAsia="en-US"/>
        </w:rPr>
        <w:t xml:space="preserve">даты</w:t>
      </w:r>
      <w:r>
        <w:rPr>
          <w:rFonts w:eastAsia="Calibri"/>
          <w:lang w:eastAsia="en-US"/>
        </w:rPr>
        <w:t xml:space="preserve"> заключения Контракта </w:t>
      </w:r>
      <w:r>
        <w:rPr>
          <w:rFonts w:eastAsia="Calibri"/>
          <w:lang w:eastAsia="en-US"/>
        </w:rPr>
        <w:t xml:space="preserve">в течение50 раб.дней</w:t>
      </w:r>
      <w:r>
        <w:rPr>
          <w:rFonts w:eastAsia="Calibri"/>
          <w:lang w:eastAsia="en-US"/>
        </w:rPr>
        <w:t xml:space="preserve">  </w:t>
      </w:r>
      <w:r/>
    </w:p>
    <w:p>
      <w:pPr>
        <w:ind w:firstLine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6.3. Доставка производится Поставщиком в соответствии с графиком работы Заказчика:</w:t>
      </w:r>
      <w:r/>
    </w:p>
    <w:p>
      <w:pPr>
        <w:ind w:firstLine="0"/>
        <w:rPr>
          <w:rFonts w:eastAsia="Calibri"/>
          <w:lang w:eastAsia="en-US"/>
        </w:rPr>
      </w:pPr>
      <w:r>
        <w:rPr>
          <w:rFonts w:eastAsia="Calibri"/>
          <w:color w:val="ff0000"/>
          <w:lang w:eastAsia="en-US"/>
        </w:rPr>
        <w:t xml:space="preserve">    </w:t>
      </w:r>
      <w:r>
        <w:rPr>
          <w:rFonts w:eastAsia="Calibri"/>
          <w:color w:val="ff0000"/>
          <w:lang w:eastAsia="en-US"/>
        </w:rPr>
        <w:t xml:space="preserve">- </w:t>
      </w:r>
      <w:r>
        <w:rPr>
          <w:rFonts w:eastAsia="Calibri"/>
          <w:color w:val="ff0000"/>
          <w:lang w:eastAsia="en-US"/>
        </w:rPr>
        <w:t xml:space="preserve">  </w:t>
      </w:r>
      <w:r>
        <w:rPr>
          <w:rFonts w:eastAsia="Calibri"/>
          <w:color w:val="000000" w:themeColor="text1"/>
          <w:lang w:eastAsia="en-US"/>
        </w:rPr>
        <w:t xml:space="preserve">с</w:t>
      </w:r>
      <w:r>
        <w:rPr>
          <w:rFonts w:eastAsia="Calibri"/>
          <w:color w:val="000000" w:themeColor="text1"/>
          <w:lang w:eastAsia="en-US"/>
        </w:rPr>
        <w:t xml:space="preserve"> понедельника по пятницу </w:t>
      </w:r>
      <w:r>
        <w:rPr>
          <w:rFonts w:eastAsia="Calibri"/>
          <w:lang w:eastAsia="en-US"/>
        </w:rPr>
        <w:t xml:space="preserve">с </w:t>
      </w:r>
      <w:r>
        <w:rPr>
          <w:rFonts w:eastAsia="Calibri"/>
          <w:lang w:eastAsia="en-US"/>
        </w:rPr>
        <w:t xml:space="preserve">9:00 до 16:00 часов.</w:t>
      </w:r>
      <w:r/>
    </w:p>
    <w:p>
      <w:pPr>
        <w:ind w:firstLine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-  перерыв на обед с 13:00 до 14:00 часов</w:t>
      </w:r>
      <w:r/>
    </w:p>
    <w:p>
      <w:pPr>
        <w:ind w:firstLine="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</w:t>
      </w:r>
      <w:r/>
    </w:p>
    <w:p>
      <w:pPr>
        <w:ind w:firstLine="0"/>
        <w:rPr>
          <w:rFonts w:eastAsia="Calibri"/>
          <w:b/>
          <w:color w:val="000000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7</w:t>
      </w:r>
      <w:r>
        <w:rPr>
          <w:rFonts w:eastAsia="Calibri"/>
          <w:b/>
          <w:sz w:val="24"/>
          <w:szCs w:val="24"/>
          <w:lang w:eastAsia="en-US"/>
        </w:rPr>
        <w:t xml:space="preserve">. </w:t>
      </w:r>
      <w:r>
        <w:rPr>
          <w:rFonts w:eastAsia="Calibri"/>
          <w:b/>
          <w:color w:val="000000"/>
          <w:sz w:val="24"/>
          <w:szCs w:val="24"/>
          <w:lang w:eastAsia="en-US"/>
        </w:rPr>
        <w:t xml:space="preserve">Требования к </w:t>
      </w:r>
      <w:r>
        <w:rPr>
          <w:rFonts w:eastAsia="Calibri"/>
          <w:b/>
          <w:color w:val="000000"/>
          <w:sz w:val="24"/>
          <w:szCs w:val="24"/>
          <w:lang w:eastAsia="en-US"/>
        </w:rPr>
        <w:t xml:space="preserve">Поставщику</w:t>
      </w:r>
      <w:r>
        <w:rPr>
          <w:rFonts w:eastAsia="Calibri"/>
          <w:b/>
          <w:color w:val="000000"/>
          <w:sz w:val="24"/>
          <w:szCs w:val="24"/>
          <w:lang w:eastAsia="en-US"/>
        </w:rPr>
        <w:t xml:space="preserve">.</w:t>
      </w:r>
      <w:r/>
    </w:p>
    <w:p>
      <w:pPr>
        <w:ind w:firstLine="0"/>
      </w:pPr>
      <w:r>
        <w:t xml:space="preserve">7.1. </w:t>
      </w:r>
      <w:r>
        <w:t xml:space="preserve">Поставщик</w:t>
      </w:r>
      <w:r>
        <w:t xml:space="preserve"> </w:t>
      </w:r>
      <w:r>
        <w:t xml:space="preserve">должен быть зарегистрирован на </w:t>
      </w:r>
      <w:r>
        <w:t xml:space="preserve">Портал</w:t>
      </w:r>
      <w:r>
        <w:t xml:space="preserve">е</w:t>
      </w:r>
      <w:r>
        <w:t xml:space="preserve"> исполнения контрактов Единой автоматизированной системы управления закупками Московской области (далее – ПИК ЕАСУЗ) </w:t>
      </w:r>
      <w:r>
        <w:t xml:space="preserve">и в ЭДО ПИК ЕАСУЗ.</w:t>
      </w:r>
      <w:r/>
    </w:p>
    <w:p>
      <w:pPr>
        <w:ind w:firstLine="0"/>
      </w:pPr>
      <w:r>
        <w:t xml:space="preserve">7.2.  </w:t>
      </w:r>
      <w:r>
        <w:t xml:space="preserve">Для работы в ПИК ЕАСУЗ </w:t>
      </w:r>
      <w:r>
        <w:t xml:space="preserve">Поставщик</w:t>
      </w:r>
      <w:r>
        <w:t xml:space="preserve">: </w:t>
      </w:r>
      <w:r/>
    </w:p>
    <w:p>
      <w:pPr>
        <w:ind w:firstLine="0"/>
      </w:pPr>
      <w:r>
        <w:t xml:space="preserve">- обеспечивае</w:t>
      </w:r>
      <w:r>
        <w:t xml:space="preserve">т необходимые условия для осуществления электронного документооборота в ПИК ЕАСУЗ и в ЭДО ПИК ЕАСУЗ;</w:t>
      </w:r>
      <w:r/>
    </w:p>
    <w:p>
      <w:pPr>
        <w:ind w:firstLine="0"/>
      </w:pPr>
      <w:r>
        <w:t xml:space="preserve">- используе</w:t>
      </w:r>
      <w:r>
        <w:t xml:space="preserve">т для подписания в ЭДО ПИК ЕАСУЗ электронных документов усиленную квалифицированную электронную подпись.</w:t>
      </w:r>
      <w:r/>
    </w:p>
    <w:p>
      <w:pPr>
        <w:ind w:firstLine="0"/>
      </w:pPr>
      <w:r>
        <w:t xml:space="preserve">7.3. </w:t>
      </w:r>
      <w:r>
        <w:t xml:space="preserve">Поставщик</w:t>
      </w:r>
      <w:r>
        <w:t xml:space="preserve"> не должен находиться в Реестре недобросовестных поставщиков.</w:t>
      </w:r>
      <w:r/>
    </w:p>
    <w:p>
      <w:pPr>
        <w:ind w:firstLine="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  <w:r/>
    </w:p>
    <w:p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Порядок и срок приемки.</w:t>
      </w:r>
      <w:r/>
    </w:p>
    <w:p>
      <w:pPr>
        <w:ind w:firstLine="0"/>
      </w:pPr>
      <w:r>
        <w:rPr>
          <w:lang w:eastAsia="en-US"/>
        </w:rPr>
        <w:t xml:space="preserve">8.1. </w:t>
      </w:r>
      <w:r>
        <w:rPr>
          <w:lang w:eastAsia="en-US"/>
        </w:rPr>
        <w:t xml:space="preserve">Приемка </w:t>
      </w:r>
      <w:r>
        <w:rPr>
          <w:lang w:eastAsia="en-US"/>
        </w:rPr>
        <w:t xml:space="preserve">товара</w:t>
      </w:r>
      <w:r>
        <w:rPr>
          <w:lang w:eastAsia="en-US"/>
        </w:rPr>
        <w:t xml:space="preserve"> осуществляется сторонами на основании </w:t>
      </w:r>
      <w:r>
        <w:t xml:space="preserve">Акта</w:t>
      </w:r>
      <w:r>
        <w:t xml:space="preserve"> </w:t>
      </w:r>
      <w:r>
        <w:t xml:space="preserve">(ДОП)</w:t>
      </w:r>
      <w:r>
        <w:t xml:space="preserve">,</w:t>
      </w:r>
      <w:r>
        <w:t xml:space="preserve"> </w:t>
      </w:r>
      <w:r>
        <w:t xml:space="preserve">формат</w:t>
      </w:r>
      <w:r>
        <w:t xml:space="preserve"> УПД</w:t>
      </w:r>
      <w:r>
        <w:t xml:space="preserve">, утвержденный приказом ФНС России</w:t>
      </w:r>
      <w:r>
        <w:t xml:space="preserve">,</w:t>
      </w:r>
      <w:r>
        <w:rPr>
          <w:rFonts w:eastAsia="Calibri"/>
          <w:sz w:val="28"/>
          <w:szCs w:val="28"/>
          <w:lang w:eastAsia="ar-SA"/>
        </w:rPr>
        <w:t xml:space="preserve"> </w:t>
      </w:r>
      <w:r>
        <w:t xml:space="preserve">сдачи-приемки оказанных услуг</w:t>
      </w:r>
      <w:r>
        <w:rPr>
          <w:lang w:eastAsia="en-US"/>
        </w:rPr>
        <w:t xml:space="preserve"> за фактически </w:t>
      </w:r>
      <w:r>
        <w:rPr>
          <w:lang w:eastAsia="en-US"/>
        </w:rPr>
        <w:t xml:space="preserve">поставленный товар</w:t>
      </w:r>
      <w:r>
        <w:rPr>
          <w:lang w:eastAsia="en-US"/>
        </w:rPr>
        <w:t xml:space="preserve">. </w:t>
      </w:r>
      <w:r>
        <w:t xml:space="preserve">С момента п</w:t>
      </w:r>
      <w:r>
        <w:t xml:space="preserve">одписания Заказчиком Акт (ДОП) </w:t>
      </w:r>
      <w:r>
        <w:t xml:space="preserve">Товар</w:t>
      </w:r>
      <w:r>
        <w:t xml:space="preserve">,</w:t>
      </w:r>
      <w:r>
        <w:t xml:space="preserve"> считается принятым Заказчиком.</w:t>
      </w:r>
      <w:r/>
    </w:p>
    <w:p>
      <w:pPr>
        <w:ind w:firstLine="0"/>
      </w:pPr>
      <w:r>
        <w:t xml:space="preserve">8.2. </w:t>
      </w:r>
      <w:r>
        <w:t xml:space="preserve">По результатам приемки поставленного товара (результатов поставки товара), Заказчик принимает поставленный товар (результаты поставки товара) и подписывает </w:t>
      </w:r>
      <w:hyperlink r:id="rId18" w:tooltip="https://pik.mosreg.ru/client/#!/eschedules/tenderPlan/1032244/position/3759581/contractTermsSchedule/3998676/obligations/accountingEvents/13201258/obligation" w:anchor="!/eschedules/tenderPlan/1032244/position/3759581/contractTermsSchedule/3998676/obligations/accountingEvents/13201258/obligation" w:history="1">
        <w:r>
          <w:t xml:space="preserve">Акт (ДОП), унифицированный формат, утвержденный приказом ФНС России</w:t>
        </w:r>
      </w:hyperlink>
      <w:r>
        <w:t xml:space="preserve"> (посредс</w:t>
      </w:r>
      <w:r>
        <w:t xml:space="preserve">твом ПИК ЕАСУЗ), либо направляет Поставщику мотивированный отказ от принятия поставленного товара (результатов поставки товара) (посредством ПИК ЕАСУЗ), содержащий перечень выявленных недостатков. Срок устранения недостатков не может превышать 2 (два) дня.</w:t>
      </w:r>
      <w:r/>
    </w:p>
    <w:p>
      <w:pPr>
        <w:ind w:firstLine="0"/>
        <w:spacing w:line="259" w:lineRule="auto"/>
      </w:pPr>
      <w:r>
        <w:t xml:space="preserve">8.3. </w:t>
      </w:r>
      <w:r>
        <w:t xml:space="preserve">В случае представления неполного комплекта документов, указанных в п.9.5. Технического задания, приемка товара Заказчиком не производится и направляется мотивиро</w:t>
      </w:r>
      <w:r>
        <w:t xml:space="preserve">ванный отказ от принятия товара.</w:t>
      </w:r>
      <w:r/>
    </w:p>
    <w:p>
      <w:pPr>
        <w:ind w:firstLine="0"/>
        <w:spacing w:line="259" w:lineRule="auto"/>
      </w:pPr>
      <w:r>
        <w:t xml:space="preserve">8.4. </w:t>
      </w:r>
      <w:r>
        <w:t xml:space="preserve">В течение 3 (трех) рабочих дней после постав</w:t>
      </w:r>
      <w:r>
        <w:t xml:space="preserve">ки (передачи) товара </w:t>
      </w:r>
      <w:r>
        <w:t xml:space="preserve">Заказчик </w:t>
      </w:r>
      <w:r>
        <w:t xml:space="preserve">назначает экспертизу поставленного товар</w:t>
      </w:r>
      <w:r>
        <w:t xml:space="preserve">а (результатов поставки товара) </w:t>
      </w:r>
      <w:r>
        <w:t xml:space="preserve">в части его соответствия условиям </w:t>
      </w:r>
      <w:r>
        <w:t xml:space="preserve">технического задания</w:t>
      </w:r>
      <w:r>
        <w:t xml:space="preserve">. Экспертиза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</w:t>
      </w:r>
      <w:r>
        <w:t xml:space="preserve"> с Федеральным законом № 44-ФЗ.</w:t>
      </w:r>
      <w:r/>
    </w:p>
    <w:p>
      <w:pPr>
        <w:ind w:firstLine="0"/>
        <w:tabs>
          <w:tab w:val="left" w:pos="426" w:leader="none"/>
        </w:tabs>
        <w:rPr>
          <w:szCs w:val="28"/>
        </w:rPr>
      </w:pPr>
      <w:r>
        <w:t xml:space="preserve">8.5. </w:t>
      </w:r>
      <w:r>
        <w:rPr>
          <w:szCs w:val="28"/>
        </w:rPr>
        <w:t xml:space="preserve">Заказчик имеет право отказаться от товара, если он не соответствует требованиям, предъявляемым к качеству товара, или не имеет соответствующих документов.</w:t>
      </w:r>
      <w:r/>
    </w:p>
    <w:p>
      <w:pPr>
        <w:ind w:firstLine="0"/>
        <w:tabs>
          <w:tab w:val="left" w:pos="426" w:leader="none"/>
        </w:tabs>
        <w:rPr>
          <w:szCs w:val="28"/>
        </w:rPr>
      </w:pPr>
      <w:r>
        <w:rPr>
          <w:szCs w:val="28"/>
        </w:rPr>
        <w:t xml:space="preserve">8.6. В случае, если при приемке будет обнаружен товар ненадлежащего качества или ассортимента, Заказчик обязан отказаться от приемки такого товара. При этом Поставщик обязан заменить не</w:t>
      </w:r>
      <w:r>
        <w:rPr>
          <w:szCs w:val="28"/>
        </w:rPr>
        <w:t xml:space="preserve">качественный (дефектный) товар на качественный или соответствующий ассортимент товара в течение 3 (трех) рабочих дней с момента предъявления Заказчиком такого требования. Поставщик несет все расходы, связанные с заменой некачественного (дефектного) товара.</w:t>
      </w:r>
      <w:r/>
    </w:p>
    <w:p>
      <w:pPr>
        <w:ind w:firstLine="0"/>
        <w:tabs>
          <w:tab w:val="left" w:pos="284" w:leader="none"/>
        </w:tabs>
        <w:rPr>
          <w:szCs w:val="28"/>
        </w:rPr>
      </w:pPr>
      <w:r>
        <w:rPr>
          <w:szCs w:val="28"/>
        </w:rPr>
        <w:t xml:space="preserve">8.7. В целях определения соответствия предложенного товара требованиям, изложенным в Техническом задании, Заказчик вправе привлекать независ</w:t>
      </w:r>
      <w:r>
        <w:rPr>
          <w:szCs w:val="28"/>
        </w:rPr>
        <w:t xml:space="preserve">имых экспертов, выбор которых осуществляется в соответствии с законодательством Российской Федерации. При необходимости проведения экспертизы Заказчик имеет право продлить срок приемки товара. Экспертиза проводится в течение 10 (десяти) рабочих дней.      </w:t>
      </w:r>
      <w:r/>
    </w:p>
    <w:p>
      <w:pPr>
        <w:ind w:firstLine="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  <w:r/>
    </w:p>
    <w:p>
      <w:pPr>
        <w:ind w:firstLine="0"/>
        <w:rPr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 xml:space="preserve">9. </w:t>
      </w:r>
      <w:r>
        <w:rPr>
          <w:b/>
          <w:sz w:val="24"/>
          <w:szCs w:val="24"/>
        </w:rPr>
        <w:t xml:space="preserve">Требование к документам при поставке</w:t>
      </w:r>
      <w:r>
        <w:rPr>
          <w:sz w:val="24"/>
          <w:szCs w:val="24"/>
        </w:rPr>
        <w:t xml:space="preserve">.</w:t>
      </w:r>
      <w:r/>
    </w:p>
    <w:p>
      <w:pPr>
        <w:ind w:firstLine="0"/>
        <w:rPr>
          <w:szCs w:val="24"/>
        </w:rPr>
      </w:pPr>
      <w:r>
        <w:rPr>
          <w:szCs w:val="24"/>
        </w:rPr>
        <w:t xml:space="preserve">9.1. </w:t>
      </w:r>
      <w:r>
        <w:rPr>
          <w:szCs w:val="24"/>
        </w:rPr>
        <w:t xml:space="preserve">Поставщик</w:t>
      </w:r>
      <w:r>
        <w:rPr>
          <w:szCs w:val="24"/>
        </w:rPr>
        <w:t xml:space="preserve"> должен </w:t>
      </w:r>
      <w:r>
        <w:rPr>
          <w:szCs w:val="24"/>
        </w:rPr>
        <w:t xml:space="preserve">передать одновременно с передачей Товара Заказчику всю необходимую документацию на Товар (паспорт качества, сертификат соответствия</w:t>
      </w:r>
      <w:r>
        <w:rPr>
          <w:szCs w:val="24"/>
        </w:rPr>
        <w:t xml:space="preserve">, инструкции</w:t>
      </w:r>
      <w:r>
        <w:rPr>
          <w:szCs w:val="24"/>
        </w:rPr>
        <w:t xml:space="preserve"> и др.).</w:t>
      </w:r>
      <w:r/>
    </w:p>
    <w:p>
      <w:pPr>
        <w:ind w:firstLine="0"/>
        <w:rPr>
          <w:szCs w:val="24"/>
        </w:rPr>
      </w:pPr>
      <w:r>
        <w:rPr>
          <w:szCs w:val="24"/>
        </w:rPr>
        <w:t xml:space="preserve">9.2. Если поставляемый товар не сертифицируется, </w:t>
      </w:r>
      <w:r>
        <w:rPr>
          <w:szCs w:val="24"/>
        </w:rPr>
        <w:t xml:space="preserve">Поставщик </w:t>
      </w:r>
      <w:r>
        <w:rPr>
          <w:szCs w:val="24"/>
        </w:rPr>
        <w:t xml:space="preserve">должен предоставить документ (письмо на официальном бланке </w:t>
      </w:r>
      <w:r>
        <w:rPr>
          <w:szCs w:val="24"/>
        </w:rPr>
        <w:t xml:space="preserve">Поставщика</w:t>
      </w:r>
      <w:r>
        <w:rPr>
          <w:szCs w:val="24"/>
        </w:rPr>
        <w:t xml:space="preserve">, заверенно</w:t>
      </w:r>
      <w:r>
        <w:rPr>
          <w:szCs w:val="24"/>
        </w:rPr>
        <w:t xml:space="preserve">е</w:t>
      </w:r>
      <w:r>
        <w:rPr>
          <w:szCs w:val="24"/>
        </w:rPr>
        <w:t xml:space="preserve"> печ</w:t>
      </w:r>
      <w:r>
        <w:rPr>
          <w:szCs w:val="24"/>
        </w:rPr>
        <w:t xml:space="preserve">атью и подписью руководителя) с указанием </w:t>
      </w:r>
      <w:r>
        <w:rPr>
          <w:szCs w:val="24"/>
        </w:rPr>
        <w:t xml:space="preserve">основани</w:t>
      </w:r>
      <w:r>
        <w:rPr>
          <w:szCs w:val="24"/>
        </w:rPr>
        <w:t xml:space="preserve">й отсутствия сертификатов.</w:t>
      </w:r>
      <w:r/>
    </w:p>
    <w:p>
      <w:pPr>
        <w:ind w:firstLine="0"/>
        <w:rPr>
          <w:szCs w:val="24"/>
        </w:rPr>
      </w:pPr>
      <w:r>
        <w:rPr>
          <w:szCs w:val="24"/>
        </w:rPr>
        <w:t xml:space="preserve">9.3. Документация, предоставляемая </w:t>
      </w:r>
      <w:r>
        <w:rPr>
          <w:szCs w:val="24"/>
        </w:rPr>
        <w:t xml:space="preserve">Поставщиком</w:t>
      </w:r>
      <w:r>
        <w:rPr>
          <w:szCs w:val="24"/>
        </w:rPr>
        <w:t xml:space="preserve"> Заказчику, должна также содержать: сведения о юридическом адресе Поставщика (Производителя), данные о качестве, основных потребительских свойствах Товара, гарантийные обязательства и другие сведения, предусмотренные установленными нормативными актами.</w:t>
      </w:r>
      <w:r/>
    </w:p>
    <w:p>
      <w:pPr>
        <w:ind w:firstLine="0"/>
      </w:pPr>
      <w:r>
        <w:t xml:space="preserve">9.4. Все </w:t>
      </w:r>
      <w:r>
        <w:t xml:space="preserve">документы должны быть заверены </w:t>
      </w:r>
      <w:r>
        <w:t xml:space="preserve">синей печатью держателя сертификата (или Поставщика).</w:t>
      </w:r>
      <w:r/>
    </w:p>
    <w:p>
      <w:pPr>
        <w:ind w:firstLine="0"/>
        <w:rPr>
          <w:sz w:val="24"/>
          <w:szCs w:val="24"/>
        </w:rPr>
      </w:pPr>
      <w:r>
        <w:t xml:space="preserve">9.5. </w:t>
      </w:r>
      <w:r>
        <w:t xml:space="preserve"> Исполнитель </w:t>
      </w:r>
      <w:r>
        <w:t xml:space="preserve">также </w:t>
      </w:r>
      <w:r>
        <w:t xml:space="preserve">предоставляет</w:t>
      </w:r>
      <w:r>
        <w:t xml:space="preserve"> в соответствии с Приложениями 1-3 к контракту</w:t>
      </w:r>
      <w:r>
        <w:t xml:space="preserve">: </w:t>
      </w:r>
      <w:r/>
    </w:p>
    <w:p>
      <w:pPr>
        <w:ind w:firstLine="0"/>
        <w:rPr>
          <w:szCs w:val="22"/>
        </w:rPr>
      </w:pPr>
      <w:r>
        <w:rPr>
          <w:bCs/>
        </w:rPr>
        <w:t xml:space="preserve">    </w:t>
      </w:r>
      <w:r>
        <w:rPr>
          <w:bCs/>
          <w:szCs w:val="22"/>
        </w:rPr>
        <w:t xml:space="preserve">- </w:t>
      </w:r>
      <w:r>
        <w:rPr>
          <w:szCs w:val="22"/>
        </w:rPr>
        <w:t xml:space="preserve">Акт</w:t>
      </w:r>
      <w:r>
        <w:rPr>
          <w:szCs w:val="22"/>
        </w:rPr>
        <w:t xml:space="preserve">(ДОП)</w:t>
      </w:r>
      <w:r>
        <w:rPr>
          <w:szCs w:val="22"/>
        </w:rPr>
        <w:t xml:space="preserve">, формат</w:t>
      </w:r>
      <w:r>
        <w:rPr>
          <w:szCs w:val="22"/>
        </w:rPr>
        <w:t xml:space="preserve"> УПД</w:t>
      </w:r>
      <w:r>
        <w:rPr>
          <w:szCs w:val="22"/>
        </w:rPr>
        <w:t xml:space="preserve">, у</w:t>
      </w:r>
      <w:r>
        <w:rPr>
          <w:szCs w:val="22"/>
        </w:rPr>
        <w:t xml:space="preserve">твержденный приказом ФНС России;</w:t>
      </w:r>
      <w:r/>
    </w:p>
    <w:p>
      <w:pPr>
        <w:ind w:firstLine="0"/>
      </w:pPr>
      <w:r>
        <w:t xml:space="preserve"> </w:t>
      </w:r>
      <w:r>
        <w:t xml:space="preserve"> </w:t>
      </w:r>
      <w:r>
        <w:t xml:space="preserve">  -   </w:t>
      </w:r>
      <w:r>
        <w:t xml:space="preserve">счет на оплату; </w:t>
      </w:r>
      <w:r/>
    </w:p>
    <w:p>
      <w:pPr>
        <w:ind w:firstLine="0"/>
      </w:pPr>
      <w:r>
        <w:t xml:space="preserve">    -   </w:t>
      </w:r>
      <w:r>
        <w:t xml:space="preserve">при необходимости счет-фактуру</w:t>
      </w:r>
      <w:r>
        <w:t xml:space="preserve">, ТОРГ-12</w:t>
      </w:r>
      <w:r>
        <w:t xml:space="preserve">.</w:t>
      </w:r>
      <w:r/>
    </w:p>
    <w:p>
      <w:pPr>
        <w:ind w:firstLine="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  <w:r/>
    </w:p>
    <w:p>
      <w:pPr>
        <w:ind w:firstLine="0"/>
        <w:rPr>
          <w:b/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 xml:space="preserve">10. </w:t>
      </w:r>
      <w:r>
        <w:rPr>
          <w:b/>
          <w:sz w:val="24"/>
          <w:szCs w:val="24"/>
        </w:rPr>
        <w:t xml:space="preserve">Порядок и срок оплаты</w:t>
      </w:r>
      <w:r>
        <w:rPr>
          <w:b/>
          <w:sz w:val="24"/>
          <w:szCs w:val="24"/>
        </w:rPr>
        <w:t xml:space="preserve">:</w:t>
      </w:r>
      <w:r/>
    </w:p>
    <w:p>
      <w:pPr>
        <w:pStyle w:val="716"/>
        <w:jc w:val="both"/>
        <w:rPr>
          <w:sz w:val="22"/>
        </w:rPr>
      </w:pPr>
      <w:r>
        <w:rPr>
          <w:sz w:val="22"/>
        </w:rPr>
        <w:t xml:space="preserve">10.1. </w:t>
      </w:r>
      <w:r>
        <w:rPr>
          <w:sz w:val="22"/>
        </w:rPr>
        <w:t xml:space="preserve">Оплата </w:t>
      </w:r>
      <w:r>
        <w:rPr>
          <w:sz w:val="22"/>
        </w:rPr>
        <w:t xml:space="preserve">поставленного товара </w:t>
      </w:r>
      <w:r>
        <w:rPr>
          <w:spacing w:val="4"/>
          <w:sz w:val="22"/>
        </w:rPr>
        <w:t xml:space="preserve">производится на основании предъявленного </w:t>
      </w:r>
      <w:r>
        <w:rPr>
          <w:sz w:val="22"/>
        </w:rPr>
        <w:t xml:space="preserve">Поставщиком </w:t>
      </w:r>
      <w:r>
        <w:rPr>
          <w:spacing w:val="4"/>
          <w:sz w:val="22"/>
        </w:rPr>
        <w:t xml:space="preserve">Заказчику счета </w:t>
      </w:r>
      <w:r>
        <w:rPr>
          <w:sz w:val="22"/>
        </w:rPr>
        <w:t xml:space="preserve">после подписания Заказчиком</w:t>
      </w:r>
      <w:r>
        <w:rPr>
          <w:color w:val="ff0000"/>
          <w:sz w:val="22"/>
        </w:rPr>
        <w:t xml:space="preserve"> </w:t>
      </w:r>
      <w:r>
        <w:rPr>
          <w:sz w:val="22"/>
          <w:lang w:eastAsia="ru-RU"/>
        </w:rPr>
        <w:t xml:space="preserve">надлежаще оформленного Акта приема-передачи товара </w:t>
      </w:r>
      <w:r>
        <w:rPr>
          <w:sz w:val="22"/>
          <w:lang w:eastAsia="ru-RU"/>
        </w:rPr>
        <w:t xml:space="preserve">(</w:t>
      </w:r>
      <w:r>
        <w:rPr>
          <w:sz w:val="22"/>
          <w:lang w:eastAsia="ru-RU"/>
        </w:rPr>
        <w:t xml:space="preserve">Акт</w:t>
      </w:r>
      <w:r>
        <w:rPr>
          <w:sz w:val="22"/>
          <w:lang w:eastAsia="ru-RU"/>
        </w:rPr>
        <w:t xml:space="preserve">а</w:t>
      </w:r>
      <w:r>
        <w:rPr>
          <w:sz w:val="22"/>
          <w:lang w:eastAsia="ru-RU"/>
        </w:rPr>
        <w:t xml:space="preserve"> </w:t>
      </w:r>
      <w:r>
        <w:rPr>
          <w:sz w:val="22"/>
          <w:lang w:eastAsia="ru-RU"/>
        </w:rPr>
        <w:t xml:space="preserve">(ДОП</w:t>
      </w:r>
      <w:r>
        <w:rPr>
          <w:sz w:val="22"/>
          <w:lang w:eastAsia="ru-RU"/>
        </w:rPr>
        <w:t xml:space="preserve">)</w:t>
      </w:r>
      <w:r>
        <w:rPr>
          <w:sz w:val="22"/>
          <w:lang w:eastAsia="ru-RU"/>
        </w:rPr>
        <w:t xml:space="preserve">, формат</w:t>
      </w:r>
      <w:r>
        <w:rPr>
          <w:sz w:val="22"/>
          <w:lang w:eastAsia="ru-RU"/>
        </w:rPr>
        <w:t xml:space="preserve"> УПД</w:t>
      </w:r>
      <w:r>
        <w:rPr>
          <w:sz w:val="22"/>
          <w:lang w:eastAsia="ru-RU"/>
        </w:rPr>
        <w:t xml:space="preserve">, утвержденный приказом ФНС России</w:t>
      </w:r>
      <w:r>
        <w:rPr>
          <w:sz w:val="22"/>
          <w:lang w:eastAsia="ru-RU"/>
        </w:rPr>
        <w:t xml:space="preserve">)</w:t>
      </w:r>
      <w:r>
        <w:rPr>
          <w:sz w:val="22"/>
          <w:lang w:eastAsia="ru-RU"/>
        </w:rPr>
        <w:t xml:space="preserve"> </w:t>
      </w:r>
      <w:r>
        <w:rPr>
          <w:spacing w:val="4"/>
          <w:sz w:val="22"/>
        </w:rPr>
        <w:t xml:space="preserve">путем безналичного перечисления на расчетный счет </w:t>
      </w:r>
      <w:r>
        <w:rPr>
          <w:sz w:val="22"/>
        </w:rPr>
        <w:t xml:space="preserve">Поставщика </w:t>
      </w:r>
      <w:r>
        <w:rPr>
          <w:spacing w:val="1"/>
          <w:sz w:val="22"/>
        </w:rPr>
        <w:t xml:space="preserve">денежных средств </w:t>
      </w:r>
      <w:r>
        <w:rPr>
          <w:spacing w:val="1"/>
          <w:sz w:val="22"/>
        </w:rPr>
        <w:t xml:space="preserve">в соответствии с Приложением 2 к муниципальному контракту, п. 2.2.</w:t>
      </w:r>
      <w:r/>
    </w:p>
    <w:p>
      <w:pPr>
        <w:ind w:firstLine="0"/>
        <w:widowControl w:val="off"/>
        <w:rPr>
          <w:szCs w:val="24"/>
        </w:rPr>
      </w:pPr>
      <w:r>
        <w:rPr>
          <w:szCs w:val="24"/>
        </w:rPr>
        <w:t xml:space="preserve">10.2. </w:t>
      </w:r>
      <w:r>
        <w:rPr>
          <w:szCs w:val="24"/>
        </w:rPr>
        <w:t xml:space="preserve">В случае неисполнения или ненадлежащего исполнения </w:t>
      </w:r>
      <w:r>
        <w:rPr>
          <w:szCs w:val="24"/>
        </w:rPr>
        <w:t xml:space="preserve">Поставщиком </w:t>
      </w:r>
      <w:r>
        <w:rPr>
          <w:szCs w:val="24"/>
        </w:rPr>
        <w:t xml:space="preserve">обязательства, предусмотренного настоящим Контрактом, Заказчик производит оплату по Контракту за вычетом неустойки.</w:t>
      </w:r>
      <w:r/>
    </w:p>
    <w:p>
      <w:pPr>
        <w:ind w:firstLine="0"/>
        <w:rPr>
          <w:color w:val="ff0000"/>
          <w:szCs w:val="24"/>
        </w:rPr>
      </w:pPr>
      <w:r>
        <w:rPr>
          <w:sz w:val="24"/>
          <w:szCs w:val="24"/>
        </w:rPr>
        <w:t xml:space="preserve"> </w:t>
      </w:r>
      <w:r/>
    </w:p>
    <w:p>
      <w:pPr>
        <w:ind w:right="-269" w:firstLine="0"/>
        <w:widowControl w:val="off"/>
        <w:rPr>
          <w:szCs w:val="28"/>
        </w:rPr>
      </w:pPr>
      <w:r>
        <w:rPr>
          <w:szCs w:val="28"/>
        </w:rPr>
        <w:t xml:space="preserve">11</w:t>
      </w:r>
      <w:r>
        <w:rPr>
          <w:szCs w:val="28"/>
        </w:rPr>
        <w:t xml:space="preserve">. </w:t>
      </w:r>
      <w:r>
        <w:rPr>
          <w:b/>
          <w:bCs/>
          <w:szCs w:val="28"/>
        </w:rPr>
        <w:t xml:space="preserve">Требование к документам при закупке:</w:t>
      </w:r>
      <w:r>
        <w:rPr>
          <w:szCs w:val="28"/>
        </w:rPr>
        <w:t xml:space="preserve"> </w:t>
      </w:r>
      <w:r/>
    </w:p>
    <w:p>
      <w:pPr>
        <w:ind w:right="-269" w:firstLine="0"/>
        <w:widowControl w:val="off"/>
        <w:rPr>
          <w:szCs w:val="28"/>
        </w:rPr>
      </w:pPr>
      <w:r>
        <w:rPr>
          <w:szCs w:val="28"/>
        </w:rPr>
        <w:t xml:space="preserve">11</w:t>
      </w:r>
      <w:r>
        <w:rPr>
          <w:szCs w:val="28"/>
        </w:rPr>
        <w:t xml:space="preserve">.1. Перед заключением муниципального контракта, Победитель обязан предоставить по запросу Заказчика, посредством электронной почты, в течение 4-х часов с момента получения запроса, заполненную специф</w:t>
      </w:r>
      <w:r>
        <w:rPr>
          <w:szCs w:val="28"/>
        </w:rPr>
        <w:t xml:space="preserve">икацию, планируемого к поставке </w:t>
      </w:r>
      <w:r>
        <w:rPr>
          <w:szCs w:val="28"/>
        </w:rPr>
        <w:t xml:space="preserve">товара, с указанием страны происхождения товара.</w:t>
      </w:r>
      <w:r/>
    </w:p>
    <w:p>
      <w:pPr>
        <w:pStyle w:val="694"/>
        <w:ind w:left="0" w:firstLine="0"/>
        <w:jc w:val="left"/>
        <w:rPr>
          <w:szCs w:val="24"/>
        </w:rPr>
      </w:pPr>
      <w:r>
        <w:rPr>
          <w:szCs w:val="24"/>
        </w:rPr>
      </w:r>
      <w:r/>
    </w:p>
    <w:p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/>
    </w:p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/>
    </w:p>
    <w:sectPr>
      <w:footerReference w:type="default" r:id="rId9"/>
      <w:footnotePr/>
      <w:endnotePr/>
      <w:type w:val="nextPage"/>
      <w:pgSz w:w="11906" w:h="16838" w:orient="portrait"/>
      <w:pgMar w:top="851" w:right="851" w:bottom="794" w:left="1134" w:header="510" w:footer="284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Calibri">
    <w:panose1 w:val="020F0502020204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84070948"/>
      <w:docPartObj>
        <w:docPartGallery w:val="Page Numbers (Bottom of Page)"/>
        <w:docPartUnique w:val="true"/>
      </w:docPartObj>
      <w:rPr/>
    </w:sdtPr>
    <w:sdtContent>
      <w:p>
        <w:pPr>
          <w:pStyle w:val="700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70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lang w:val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9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lang w:val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9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7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pStyle w:val="704"/>
      <w:isLgl w:val="false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705"/>
      <w:isLgl w:val="false"/>
      <w:suff w:val="space"/>
      <w:lvlText w:val="%1.%2."/>
      <w:lvlJc w:val="left"/>
      <w:pPr>
        <w:ind w:left="0" w:firstLine="709"/>
      </w:pPr>
      <w:rPr>
        <w:rFonts w:hint="default"/>
        <w:caps w:val="0"/>
        <w:strike w:val="0"/>
        <w:vanish w:val="0"/>
        <w:sz w:val="24"/>
        <w:vertAlign w:val="baseline"/>
      </w:rPr>
    </w:lvl>
    <w:lvl w:ilvl="2">
      <w:start w:val="1"/>
      <w:numFmt w:val="decimal"/>
      <w:pStyle w:val="706"/>
      <w:isLgl w:val="false"/>
      <w:suff w:val="space"/>
      <w:lvlText w:val="%1.%2.%3."/>
      <w:lvlJc w:val="left"/>
      <w:pPr>
        <w:ind w:left="0" w:firstLine="709"/>
      </w:pPr>
      <w:rPr>
        <w:rFonts w:hint="default" w:ascii="Times New Roman" w:hAnsi="Times New Roman" w:cs="Times New Roman"/>
        <w:sz w:val="24"/>
        <w:szCs w:val="24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2"/>
  </w:num>
  <w:num w:numId="4">
    <w:abstractNumId w:val="5"/>
  </w:num>
  <w:num w:numId="5">
    <w:abstractNumId w:val="13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1"/>
  </w:num>
  <w:num w:numId="11">
    <w:abstractNumId w:val="6"/>
  </w:num>
  <w:num w:numId="12">
    <w:abstractNumId w:val="7"/>
  </w:num>
  <w:num w:numId="13">
    <w:abstractNumId w:val="12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3">
    <w:name w:val="Heading 1 Char"/>
    <w:basedOn w:val="691"/>
    <w:link w:val="688"/>
    <w:uiPriority w:val="9"/>
    <w:rPr>
      <w:rFonts w:ascii="Arial" w:hAnsi="Arial" w:eastAsia="Arial" w:cs="Arial"/>
      <w:sz w:val="40"/>
      <w:szCs w:val="40"/>
    </w:rPr>
  </w:style>
  <w:style w:type="character" w:styleId="15">
    <w:name w:val="Heading 2 Char"/>
    <w:basedOn w:val="691"/>
    <w:link w:val="689"/>
    <w:uiPriority w:val="9"/>
    <w:rPr>
      <w:rFonts w:ascii="Arial" w:hAnsi="Arial" w:eastAsia="Arial" w:cs="Arial"/>
      <w:sz w:val="34"/>
    </w:rPr>
  </w:style>
  <w:style w:type="character" w:styleId="17">
    <w:name w:val="Heading 3 Char"/>
    <w:basedOn w:val="691"/>
    <w:link w:val="690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87"/>
    <w:next w:val="687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691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87"/>
    <w:next w:val="687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91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87"/>
    <w:next w:val="687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91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87"/>
    <w:next w:val="687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91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87"/>
    <w:next w:val="687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91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87"/>
    <w:next w:val="687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91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87"/>
    <w:next w:val="687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691"/>
    <w:link w:val="33"/>
    <w:uiPriority w:val="10"/>
    <w:rPr>
      <w:sz w:val="48"/>
      <w:szCs w:val="48"/>
    </w:rPr>
  </w:style>
  <w:style w:type="paragraph" w:styleId="35">
    <w:name w:val="Subtitle"/>
    <w:basedOn w:val="687"/>
    <w:next w:val="687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91"/>
    <w:link w:val="35"/>
    <w:uiPriority w:val="11"/>
    <w:rPr>
      <w:sz w:val="24"/>
      <w:szCs w:val="24"/>
    </w:rPr>
  </w:style>
  <w:style w:type="paragraph" w:styleId="37">
    <w:name w:val="Quote"/>
    <w:basedOn w:val="687"/>
    <w:next w:val="687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87"/>
    <w:next w:val="687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character" w:styleId="42">
    <w:name w:val="Header Char"/>
    <w:basedOn w:val="691"/>
    <w:link w:val="698"/>
    <w:uiPriority w:val="99"/>
  </w:style>
  <w:style w:type="character" w:styleId="44">
    <w:name w:val="Footer Char"/>
    <w:basedOn w:val="691"/>
    <w:link w:val="700"/>
    <w:uiPriority w:val="99"/>
  </w:style>
  <w:style w:type="paragraph" w:styleId="45">
    <w:name w:val="Caption"/>
    <w:basedOn w:val="687"/>
    <w:next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700"/>
    <w:uiPriority w:val="99"/>
  </w:style>
  <w:style w:type="table" w:styleId="48">
    <w:name w:val="Table Grid Light"/>
    <w:basedOn w:val="69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9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9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7">
    <w:name w:val="List Table 7 Colorful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1">
    <w:name w:val="List Table 7 Colorful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4">
    <w:name w:val="Lined - Accent 2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8">
    <w:name w:val="Lined - Accent 6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1">
    <w:name w:val="Bordered &amp; Lined - Accent 2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5">
    <w:name w:val="Bordered &amp; Lined - Accent 6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Footnote Text Char"/>
    <w:link w:val="695"/>
    <w:uiPriority w:val="99"/>
    <w:rPr>
      <w:sz w:val="18"/>
    </w:rPr>
  </w:style>
  <w:style w:type="paragraph" w:styleId="177">
    <w:name w:val="endnote text"/>
    <w:basedOn w:val="687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91"/>
    <w:uiPriority w:val="99"/>
    <w:semiHidden/>
    <w:unhideWhenUsed/>
    <w:rPr>
      <w:vertAlign w:val="superscript"/>
    </w:rPr>
  </w:style>
  <w:style w:type="paragraph" w:styleId="180">
    <w:name w:val="toc 1"/>
    <w:basedOn w:val="687"/>
    <w:next w:val="687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87"/>
    <w:next w:val="687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87"/>
    <w:next w:val="687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87"/>
    <w:next w:val="687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87"/>
    <w:next w:val="687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87"/>
    <w:next w:val="687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87"/>
    <w:next w:val="687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87"/>
    <w:next w:val="687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87"/>
    <w:next w:val="687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87"/>
    <w:next w:val="687"/>
    <w:uiPriority w:val="99"/>
    <w:unhideWhenUsed/>
    <w:pPr>
      <w:spacing w:after="0" w:afterAutospacing="0"/>
    </w:pPr>
  </w:style>
  <w:style w:type="paragraph" w:styleId="687" w:default="1">
    <w:name w:val="Normal"/>
    <w:qFormat/>
    <w:pPr>
      <w:ind w:firstLine="357"/>
      <w:jc w:val="both"/>
      <w:spacing w:after="0" w:line="240" w:lineRule="auto"/>
    </w:pPr>
    <w:rPr>
      <w:rFonts w:ascii="Times New Roman" w:hAnsi="Times New Roman" w:eastAsia="Times New Roman" w:cs="Times New Roman"/>
      <w:szCs w:val="20"/>
      <w:lang w:eastAsia="ru-RU"/>
    </w:rPr>
  </w:style>
  <w:style w:type="paragraph" w:styleId="688">
    <w:name w:val="Heading 1"/>
    <w:basedOn w:val="687"/>
    <w:next w:val="687"/>
    <w:link w:val="707"/>
    <w:uiPriority w:val="9"/>
    <w:qFormat/>
    <w:pPr>
      <w:keepLines/>
      <w:keepNext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689">
    <w:name w:val="Heading 2"/>
    <w:basedOn w:val="687"/>
    <w:next w:val="687"/>
    <w:link w:val="708"/>
    <w:uiPriority w:val="9"/>
    <w:semiHidden/>
    <w:unhideWhenUsed/>
    <w:qFormat/>
    <w:pPr>
      <w:keepLines/>
      <w:keepNext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690">
    <w:name w:val="Heading 3"/>
    <w:basedOn w:val="687"/>
    <w:next w:val="687"/>
    <w:link w:val="709"/>
    <w:uiPriority w:val="9"/>
    <w:semiHidden/>
    <w:unhideWhenUsed/>
    <w:qFormat/>
    <w:pPr>
      <w:keepLines/>
      <w:keepNext/>
      <w:spacing w:before="4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691" w:default="1">
    <w:name w:val="Default Paragraph Font"/>
    <w:uiPriority w:val="1"/>
    <w:semiHidden/>
    <w:unhideWhenUsed/>
  </w:style>
  <w:style w:type="table" w:styleId="69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3" w:default="1">
    <w:name w:val="No List"/>
    <w:uiPriority w:val="99"/>
    <w:semiHidden/>
    <w:unhideWhenUsed/>
  </w:style>
  <w:style w:type="paragraph" w:styleId="694">
    <w:name w:val="List Paragraph"/>
    <w:basedOn w:val="687"/>
    <w:uiPriority w:val="34"/>
    <w:qFormat/>
    <w:pPr>
      <w:contextualSpacing/>
      <w:ind w:left="720"/>
    </w:pPr>
  </w:style>
  <w:style w:type="paragraph" w:styleId="695">
    <w:name w:val="footnote text"/>
    <w:basedOn w:val="687"/>
    <w:link w:val="696"/>
    <w:semiHidden/>
    <w:unhideWhenUsed/>
    <w:rPr>
      <w:sz w:val="20"/>
    </w:rPr>
  </w:style>
  <w:style w:type="character" w:styleId="696" w:customStyle="1">
    <w:name w:val="Текст сноски Знак"/>
    <w:basedOn w:val="691"/>
    <w:link w:val="695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697">
    <w:name w:val="footnote reference"/>
    <w:basedOn w:val="691"/>
    <w:semiHidden/>
    <w:unhideWhenUsed/>
    <w:rPr>
      <w:vertAlign w:val="superscript"/>
    </w:rPr>
  </w:style>
  <w:style w:type="paragraph" w:styleId="698">
    <w:name w:val="Header"/>
    <w:basedOn w:val="687"/>
    <w:link w:val="69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99" w:customStyle="1">
    <w:name w:val="Верхний колонтитул Знак"/>
    <w:basedOn w:val="691"/>
    <w:link w:val="698"/>
    <w:uiPriority w:val="99"/>
    <w:rPr>
      <w:rFonts w:ascii="Times New Roman" w:hAnsi="Times New Roman" w:eastAsia="Times New Roman" w:cs="Times New Roman"/>
      <w:szCs w:val="20"/>
      <w:lang w:eastAsia="ru-RU"/>
    </w:rPr>
  </w:style>
  <w:style w:type="paragraph" w:styleId="700">
    <w:name w:val="Footer"/>
    <w:basedOn w:val="687"/>
    <w:link w:val="70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01" w:customStyle="1">
    <w:name w:val="Нижний колонтитул Знак"/>
    <w:basedOn w:val="691"/>
    <w:link w:val="700"/>
    <w:uiPriority w:val="99"/>
    <w:rPr>
      <w:rFonts w:ascii="Times New Roman" w:hAnsi="Times New Roman" w:eastAsia="Times New Roman" w:cs="Times New Roman"/>
      <w:szCs w:val="20"/>
      <w:lang w:eastAsia="ru-RU"/>
    </w:rPr>
  </w:style>
  <w:style w:type="character" w:styleId="702">
    <w:name w:val="Hyperlink"/>
    <w:basedOn w:val="691"/>
    <w:uiPriority w:val="99"/>
    <w:unhideWhenUsed/>
    <w:rPr>
      <w:color w:val="0563c1" w:themeColor="hyperlink"/>
      <w:u w:val="single"/>
    </w:rPr>
  </w:style>
  <w:style w:type="character" w:styleId="703" w:customStyle="1">
    <w:name w:val="Неразрешенное упоминание1"/>
    <w:basedOn w:val="691"/>
    <w:uiPriority w:val="99"/>
    <w:semiHidden/>
    <w:unhideWhenUsed/>
    <w:rPr>
      <w:color w:val="605e5c"/>
      <w:shd w:val="clear" w:color="auto" w:fill="e1dfdd"/>
    </w:rPr>
  </w:style>
  <w:style w:type="paragraph" w:styleId="704" w:customStyle="1">
    <w:name w:val="Раздел контракта"/>
    <w:basedOn w:val="688"/>
    <w:next w:val="687"/>
    <w:qFormat/>
    <w:pPr>
      <w:numPr>
        <w:numId w:val="5"/>
      </w:numPr>
      <w:ind w:left="360" w:hanging="360"/>
      <w:jc w:val="center"/>
      <w:keepLines w:val="0"/>
      <w:keepNext w:val="0"/>
      <w:spacing w:before="120" w:after="120"/>
    </w:pPr>
    <w:rPr>
      <w:rFonts w:ascii="Times New Roman" w:hAnsi="Times New Roman"/>
      <w:color w:val="auto"/>
      <w:sz w:val="24"/>
      <w:lang w:eastAsia="en-US"/>
    </w:rPr>
  </w:style>
  <w:style w:type="paragraph" w:styleId="705" w:customStyle="1">
    <w:name w:val="Пункт контракта"/>
    <w:basedOn w:val="689"/>
    <w:qFormat/>
    <w:pPr>
      <w:numPr>
        <w:ilvl w:val="1"/>
        <w:numId w:val="5"/>
      </w:numPr>
      <w:ind w:left="1440" w:hanging="360"/>
      <w:keepLines w:val="0"/>
      <w:keepNext w:val="0"/>
      <w:spacing w:before="0"/>
    </w:pPr>
    <w:rPr>
      <w:rFonts w:ascii="Times New Roman" w:hAnsi="Times New Roman"/>
      <w:color w:val="auto"/>
      <w:sz w:val="24"/>
      <w:lang w:eastAsia="ar-SA"/>
    </w:rPr>
  </w:style>
  <w:style w:type="paragraph" w:styleId="706" w:customStyle="1">
    <w:name w:val="Подпункт контракта"/>
    <w:basedOn w:val="690"/>
    <w:qFormat/>
    <w:pPr>
      <w:numPr>
        <w:ilvl w:val="2"/>
        <w:numId w:val="5"/>
      </w:numPr>
      <w:ind w:left="2160" w:hanging="180"/>
      <w:keepLines w:val="0"/>
      <w:keepNext w:val="0"/>
      <w:spacing w:before="0"/>
    </w:pPr>
    <w:rPr>
      <w:rFonts w:ascii="Times New Roman" w:hAnsi="Times New Roman"/>
      <w:color w:val="auto"/>
      <w:lang w:eastAsia="en-US"/>
    </w:rPr>
  </w:style>
  <w:style w:type="character" w:styleId="707" w:customStyle="1">
    <w:name w:val="Заголовок 1 Знак"/>
    <w:basedOn w:val="691"/>
    <w:link w:val="688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  <w:lang w:eastAsia="ru-RU"/>
    </w:rPr>
  </w:style>
  <w:style w:type="character" w:styleId="708" w:customStyle="1">
    <w:name w:val="Заголовок 2 Знак"/>
    <w:basedOn w:val="691"/>
    <w:link w:val="689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26"/>
      <w:szCs w:val="26"/>
      <w:lang w:eastAsia="ru-RU"/>
    </w:rPr>
  </w:style>
  <w:style w:type="character" w:styleId="709" w:customStyle="1">
    <w:name w:val="Заголовок 3 Знак"/>
    <w:basedOn w:val="691"/>
    <w:link w:val="690"/>
    <w:uiPriority w:val="9"/>
    <w:semiHidden/>
    <w:rPr>
      <w:rFonts w:asciiTheme="majorHAnsi" w:hAnsiTheme="majorHAnsi" w:eastAsiaTheme="majorEastAsia" w:cstheme="majorBidi"/>
      <w:color w:val="1f3763" w:themeColor="accent1" w:themeShade="7F"/>
      <w:sz w:val="24"/>
      <w:szCs w:val="24"/>
      <w:lang w:eastAsia="ru-RU"/>
    </w:rPr>
  </w:style>
  <w:style w:type="paragraph" w:styleId="710">
    <w:name w:val="Normal (Web)"/>
    <w:basedOn w:val="687"/>
    <w:uiPriority w:val="99"/>
    <w:unhideWhenUsed/>
    <w:pPr>
      <w:ind w:firstLine="0"/>
      <w:jc w:val="left"/>
      <w:spacing w:before="100" w:beforeAutospacing="1" w:after="100" w:afterAutospacing="1"/>
    </w:pPr>
    <w:rPr>
      <w:rFonts w:eastAsia="Calibri"/>
      <w:color w:val="000000"/>
      <w:sz w:val="24"/>
      <w:szCs w:val="24"/>
    </w:rPr>
  </w:style>
  <w:style w:type="character" w:styleId="711" w:customStyle="1">
    <w:name w:val="apple-converted-space"/>
    <w:basedOn w:val="691"/>
  </w:style>
  <w:style w:type="table" w:styleId="712">
    <w:name w:val="Table Grid"/>
    <w:basedOn w:val="692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13" w:customStyle="1">
    <w:name w:val="paragraph"/>
    <w:basedOn w:val="687"/>
    <w:pPr>
      <w:ind w:firstLine="0"/>
      <w:jc w:val="left"/>
      <w:spacing w:before="100" w:beforeAutospacing="1" w:after="100" w:afterAutospacing="1"/>
    </w:pPr>
    <w:rPr>
      <w:sz w:val="24"/>
      <w:szCs w:val="24"/>
    </w:rPr>
  </w:style>
  <w:style w:type="character" w:styleId="714" w:customStyle="1">
    <w:name w:val="normaltextrun"/>
  </w:style>
  <w:style w:type="character" w:styleId="715" w:customStyle="1">
    <w:name w:val="eop"/>
  </w:style>
  <w:style w:type="paragraph" w:styleId="716" w:customStyle="1">
    <w:name w:val="ConsPlusNormal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717" w:customStyle="1">
    <w:name w:val="Standard"/>
    <w:qFormat/>
    <w:pPr>
      <w:spacing w:after="0" w:line="240" w:lineRule="auto"/>
      <w:widowControl w:val="off"/>
    </w:pPr>
    <w:rPr>
      <w:rFonts w:ascii="Arial" w:hAnsi="Arial" w:eastAsia="Calibri" w:cs="Arial"/>
      <w:sz w:val="18"/>
      <w:szCs w:val="18"/>
      <w:lang w:eastAsia="ar-SA"/>
    </w:rPr>
  </w:style>
  <w:style w:type="paragraph" w:styleId="718" w:customStyle="1">
    <w:name w:val="Table Paragraph"/>
    <w:basedOn w:val="687"/>
    <w:uiPriority w:val="1"/>
    <w:qFormat/>
    <w:pPr>
      <w:ind w:firstLine="0"/>
      <w:jc w:val="left"/>
      <w:widowControl w:val="off"/>
    </w:pPr>
    <w:rPr>
      <w:szCs w:val="22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mailto:schoolsovkhoz@yandex.ru" TargetMode="External"/><Relationship Id="rId11" Type="http://schemas.openxmlformats.org/officeDocument/2006/relationships/hyperlink" Target="https://fdm-gf.ru/mebel-dlya-detskogo-sada/" TargetMode="External"/><Relationship Id="rId12" Type="http://schemas.openxmlformats.org/officeDocument/2006/relationships/image" Target="media/image1.jpg"/><Relationship Id="rId13" Type="http://schemas.openxmlformats.org/officeDocument/2006/relationships/hyperlink" Target="https://fdm-gf.ru/ulichnoe-oborudovanie/" TargetMode="External"/><Relationship Id="rId14" Type="http://schemas.openxmlformats.org/officeDocument/2006/relationships/image" Target="media/image2.jpg"/><Relationship Id="rId15" Type="http://schemas.openxmlformats.org/officeDocument/2006/relationships/hyperlink" Target="https://fdm-gf.ru/oborudovanie-dlya-detskogo-sada/myagkie-moduli/" TargetMode="External"/><Relationship Id="rId16" Type="http://schemas.openxmlformats.org/officeDocument/2006/relationships/image" Target="media/image3.jpg"/><Relationship Id="rId17" Type="http://schemas.openxmlformats.org/officeDocument/2006/relationships/image" Target="media/image4.jpg"/><Relationship Id="rId18" Type="http://schemas.openxmlformats.org/officeDocument/2006/relationships/hyperlink" Target="https://pik.mosreg.ru/client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МОУ Совхозная СОШ</dc:creator>
  <cp:keywords/>
  <dc:description/>
  <cp:revision>106</cp:revision>
  <dcterms:created xsi:type="dcterms:W3CDTF">2021-01-19T11:03:00Z</dcterms:created>
  <dcterms:modified xsi:type="dcterms:W3CDTF">2026-10-14T08:55:34Z</dcterms:modified>
</cp:coreProperties>
</file>