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противогазов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применяемых исключительно в действующей редакции, с учетом изменений и дополнений, а также согласно актам, указанным в IX Разделе настоящего Технического задания;</w:t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 в соответствии с номенклатурой продукции,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  <w:br/>
              <w:t xml:space="preserve">4. Поставляемый по Контракту Товар не должен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экспертным заключением о соответствии Единым санитарно-эпидемиологическим и гигиеническим требованиям к товарам, подлежащим санитарно-эпидемиологическому надзору (контролю) (при необходимости), выдаваемым в рамках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отвечать общим требованиям безопасности, установленным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и должен обеспечивать: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отсутствие недопустимого риска возникновения ситуаций, которые могут привести к появлению опасностей;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необходимый уровень защиты жизни и здоровья человека от опасностей, возникающих при применении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Товар должен обеспечивать эффективную защиту человека в соответствии с установленными в эксплуатационной документации спектром защиты и длительностью защитного действия, быть безопасным и гигиеничным в процессе всего срока эксплуатации. Конкретные защитные свойства (термические, механические, от воды, от пониженных температур, от общих производственных загрязнений, видимость и др.) должны соответствовать специализированным стандартам.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При совмещении защитных свойств товар должен обеспечивать безопасность человека при воздействии всех заявленных вредных (опасных) производственных факторов, а также соответствовать требованиям к совместимости свойств, установленным в применимых стандартах.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повреждений,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 При применении цветных упаковок, текст должен иметь контрастный цвет;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Национальный стандарт Российской Федерации. «Система стандартов безопасности труда. Средства индивидуальной защиты. Общие требования и классификация» ГОСТ Р 59123-2020.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продукции легкой промышленности» ТР ТС 017/2011 от 09.12.2011.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средств индивидуальной защиты» ТР ТС 019/2011 от 09.12.2011.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  <w:br/>
              <w:t xml:space="preserve">характеристики.docx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