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Закупка воздушного компрессора для нужд МБУ УК «Управление МКД» Талдомского городского округа Московской области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  <w:br/>
              <w:t xml:space="preserve">- 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 (или) упущения поставщика, при соблюдении заказчиком правил эксплуатации поставляемого товара;</w:t>
              <w:br/>
              <w:t xml:space="preserve">- соответствовать требованиям действующих государственных,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в соответствии с требованиями государственных и международных стандартов, а также актам, указанным в IX Разделе настоящего Технического задания;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соответствия).</w:t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  <w:br/>
              <w:t xml:space="preserve">4.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транспортирования, погрузо-разгрузочных работах 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содержать: наименование изделия, место нахождения и адрес изготовителя, дату выпуска и гарантийный срок службы. Маркировка упаковки должна строго соответствовать маркировке товара и быть читаемой,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Постановление Правительства РФ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 № 2425 от 23.12.2021.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Решении Комиссии Таможенного союза «О безопасности машин и оборудования» ТР ТС 010/2011 от 18.10.2011.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колесных транспортных средств» ТР ТС 018/2011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