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для нужд Гимназии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да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Поставляемый товар должен соответствовать действующим стандартам и нормам по пожарной,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drawing>
                <wp:inline distT="0" distB="0" distL="0" distR="0">
                  <wp:extent cx="3054769" cy="432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2e50a8f05b0a4acd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769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5 дней с даты поставки товара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7 дней с даты подписания контракта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Relationship Type="http://schemas.openxmlformats.org/officeDocument/2006/relationships/image" Target="media/image_72f0281e59854bc89c238e39d42802a4.jpg" Id="R2e50a8f05b0a4acd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